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80" w:lineRule="exact"/>
        <w:jc w:val="center"/>
        <w:rPr>
          <w:rFonts w:hint="eastAsia" w:ascii="Times New Roman" w:hAnsi="Times New Roman" w:eastAsia="方正小标宋简体"/>
          <w:caps w:val="0"/>
          <w:sz w:val="44"/>
          <w:szCs w:val="44"/>
          <w:lang w:val="en-US" w:eastAsia="zh-CN"/>
        </w:rPr>
      </w:pPr>
      <w:r>
        <w:rPr>
          <w:rFonts w:hint="eastAsia" w:ascii="Times New Roman" w:hAnsi="Times New Roman" w:eastAsia="方正小标宋简体"/>
          <w:caps w:val="0"/>
          <w:sz w:val="44"/>
          <w:szCs w:val="44"/>
          <w:lang w:val="en-US" w:eastAsia="zh-CN"/>
        </w:rPr>
        <w:t>中国共产党自贡市委员会党校</w:t>
      </w:r>
    </w:p>
    <w:p>
      <w:pPr>
        <w:widowControl/>
        <w:spacing w:line="580" w:lineRule="exact"/>
        <w:jc w:val="center"/>
        <w:rPr>
          <w:rFonts w:ascii="Times New Roman" w:hAnsi="Times New Roman" w:eastAsia="方正小标宋简体"/>
          <w:caps w:val="0"/>
          <w:sz w:val="44"/>
          <w:szCs w:val="44"/>
        </w:rPr>
      </w:pPr>
      <w:r>
        <w:rPr>
          <w:rFonts w:hint="eastAsia" w:ascii="Times New Roman" w:hAnsi="Times New Roman" w:eastAsia="方正小标宋简体"/>
          <w:caps w:val="0"/>
          <w:sz w:val="44"/>
          <w:szCs w:val="44"/>
          <w:lang w:val="en-US" w:eastAsia="zh-CN"/>
        </w:rPr>
        <w:t>202</w:t>
      </w:r>
      <w:r>
        <w:rPr>
          <w:rFonts w:hint="eastAsia" w:eastAsia="方正小标宋简体"/>
          <w:caps w:val="0"/>
          <w:sz w:val="44"/>
          <w:szCs w:val="44"/>
          <w:lang w:val="en-US" w:eastAsia="zh-CN"/>
        </w:rPr>
        <w:t>5</w:t>
      </w:r>
      <w:r>
        <w:rPr>
          <w:rFonts w:hint="eastAsia" w:ascii="Times New Roman" w:hAnsi="Times New Roman" w:eastAsia="方正小标宋简体"/>
          <w:caps w:val="0"/>
          <w:sz w:val="44"/>
          <w:szCs w:val="44"/>
        </w:rPr>
        <w:t>年度</w:t>
      </w:r>
      <w:r>
        <w:rPr>
          <w:rFonts w:hint="eastAsia" w:ascii="Times New Roman" w:hAnsi="Times New Roman" w:eastAsia="方正小标宋简体"/>
          <w:caps w:val="0"/>
          <w:sz w:val="44"/>
          <w:szCs w:val="44"/>
          <w:lang w:val="en-US" w:eastAsia="zh-CN"/>
        </w:rPr>
        <w:t>单位</w:t>
      </w:r>
      <w:r>
        <w:rPr>
          <w:rFonts w:hint="eastAsia" w:ascii="Times New Roman" w:hAnsi="Times New Roman" w:eastAsia="方正小标宋简体"/>
          <w:caps w:val="0"/>
          <w:sz w:val="44"/>
          <w:szCs w:val="44"/>
        </w:rPr>
        <w:t>决算编制的说明</w:t>
      </w:r>
    </w:p>
    <w:p>
      <w:pPr>
        <w:widowControl/>
        <w:jc w:val="center"/>
        <w:rPr>
          <w:rFonts w:ascii="Times New Roman" w:hAnsi="Times New Roman"/>
          <w:caps w:val="0"/>
          <w:sz w:val="28"/>
          <w:szCs w:val="28"/>
        </w:rPr>
      </w:pPr>
    </w:p>
    <w:p>
      <w:pPr>
        <w:widowControl/>
        <w:jc w:val="center"/>
        <w:rPr>
          <w:rFonts w:ascii="Times New Roman" w:hAnsi="Times New Roman" w:eastAsia="黑体"/>
          <w:caps w:val="0"/>
          <w:color w:val="000000"/>
          <w:sz w:val="48"/>
          <w:szCs w:val="48"/>
        </w:rPr>
      </w:pPr>
      <w:r>
        <w:rPr>
          <w:rFonts w:hint="eastAsia" w:ascii="Times New Roman" w:hAnsi="Times New Roman" w:eastAsia="黑体"/>
          <w:caps w:val="0"/>
          <w:color w:val="000000"/>
          <w:sz w:val="44"/>
          <w:szCs w:val="44"/>
        </w:rPr>
        <w:t>目</w:t>
      </w:r>
      <w:r>
        <w:rPr>
          <w:rFonts w:hint="eastAsia" w:ascii="Times New Roman" w:hAnsi="Times New Roman" w:eastAsia="黑体"/>
          <w:caps w:val="0"/>
          <w:color w:val="000000"/>
          <w:sz w:val="44"/>
          <w:szCs w:val="44"/>
          <w:lang w:val="en-US" w:eastAsia="zh-CN"/>
        </w:rPr>
        <w:t xml:space="preserve"> </w:t>
      </w:r>
      <w:r>
        <w:rPr>
          <w:rFonts w:hint="eastAsia" w:ascii="Times New Roman" w:hAnsi="Times New Roman" w:eastAsia="黑体"/>
          <w:caps w:val="0"/>
          <w:color w:val="000000"/>
          <w:sz w:val="44"/>
          <w:szCs w:val="44"/>
        </w:rPr>
        <w:t>录</w:t>
      </w:r>
    </w:p>
    <w:p>
      <w:pPr>
        <w:pStyle w:val="12"/>
        <w:spacing w:line="500" w:lineRule="exact"/>
        <w:jc w:val="center"/>
        <w:rPr>
          <w:rFonts w:hint="eastAsia" w:ascii="Times New Roman" w:hAnsi="Times New Roman" w:eastAsia="仿宋_GB2312"/>
          <w:i w:val="0"/>
          <w:caps w:val="0"/>
          <w:color w:val="auto"/>
          <w:sz w:val="32"/>
        </w:rPr>
      </w:pPr>
      <w:r>
        <w:rPr>
          <w:rFonts w:hint="eastAsia" w:ascii="Times New Roman" w:hAnsi="Times New Roman" w:eastAsia="仿宋_GB2312"/>
          <w:i w:val="0"/>
          <w:caps w:val="0"/>
          <w:color w:val="auto"/>
          <w:sz w:val="32"/>
        </w:rPr>
        <w:t>公开时间：202</w:t>
      </w:r>
      <w:r>
        <w:rPr>
          <w:rFonts w:hint="eastAsia" w:ascii="Times New Roman" w:eastAsia="仿宋_GB2312"/>
          <w:i w:val="0"/>
          <w:caps w:val="0"/>
          <w:color w:val="auto"/>
          <w:sz w:val="32"/>
          <w:lang w:val="en-US" w:eastAsia="zh-CN"/>
        </w:rPr>
        <w:t>6</w:t>
      </w:r>
      <w:r>
        <w:rPr>
          <w:rFonts w:hint="eastAsia" w:ascii="Times New Roman" w:hAnsi="Times New Roman" w:eastAsia="仿宋_GB2312"/>
          <w:i w:val="0"/>
          <w:caps w:val="0"/>
          <w:color w:val="auto"/>
          <w:sz w:val="32"/>
        </w:rPr>
        <w:t>年</w:t>
      </w:r>
      <w:r>
        <w:rPr>
          <w:rFonts w:hint="eastAsia" w:ascii="Times New Roman" w:hAnsi="Times New Roman" w:eastAsia="仿宋_GB2312"/>
          <w:i w:val="0"/>
          <w:caps w:val="0"/>
          <w:color w:val="auto"/>
          <w:sz w:val="32"/>
          <w:lang w:val="en-US" w:eastAsia="zh-CN"/>
        </w:rPr>
        <w:t>10</w:t>
      </w:r>
      <w:r>
        <w:rPr>
          <w:rFonts w:hint="eastAsia" w:ascii="Times New Roman" w:hAnsi="Times New Roman" w:eastAsia="仿宋_GB2312"/>
          <w:i w:val="0"/>
          <w:caps w:val="0"/>
          <w:color w:val="auto"/>
          <w:sz w:val="32"/>
        </w:rPr>
        <w:t>月</w:t>
      </w:r>
      <w:r>
        <w:rPr>
          <w:rFonts w:hint="eastAsia" w:ascii="Times New Roman" w:eastAsia="仿宋_GB2312"/>
          <w:i w:val="0"/>
          <w:caps w:val="0"/>
          <w:color w:val="auto"/>
          <w:sz w:val="32"/>
          <w:lang w:val="en-US" w:eastAsia="zh-CN"/>
        </w:rPr>
        <w:t>8</w:t>
      </w:r>
      <w:r>
        <w:rPr>
          <w:rFonts w:hint="eastAsia" w:ascii="Times New Roman" w:hAnsi="Times New Roman" w:eastAsia="仿宋_GB2312"/>
          <w:i w:val="0"/>
          <w:caps w:val="0"/>
          <w:color w:val="auto"/>
          <w:sz w:val="32"/>
        </w:rPr>
        <w:t>日</w:t>
      </w:r>
    </w:p>
    <w:p>
      <w:pPr>
        <w:pStyle w:val="12"/>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TOC \o "1-2" \h \z \u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_Toc3028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 xml:space="preserve">第一部分 </w:t>
      </w:r>
      <w:r>
        <w:rPr>
          <w:rFonts w:hint="eastAsia" w:ascii="Times New Roman" w:hAnsi="Times New Roman" w:eastAsia="仿宋_GB2312" w:cs="仿宋_GB2312"/>
          <w:b w:val="0"/>
          <w:bCs w:val="0"/>
          <w:i w:val="0"/>
          <w:iCs w:val="0"/>
          <w:caps w:val="0"/>
          <w:sz w:val="32"/>
          <w:szCs w:val="32"/>
          <w:lang w:val="en-US" w:eastAsia="zh-CN"/>
        </w:rPr>
        <w:t>单位</w:t>
      </w:r>
      <w:r>
        <w:rPr>
          <w:rFonts w:hint="eastAsia" w:ascii="Times New Roman" w:hAnsi="Times New Roman" w:eastAsia="仿宋_GB2312" w:cs="仿宋_GB2312"/>
          <w:b w:val="0"/>
          <w:bCs w:val="0"/>
          <w:i w:val="0"/>
          <w:iCs w:val="0"/>
          <w:caps w:val="0"/>
          <w:sz w:val="32"/>
          <w:szCs w:val="32"/>
        </w:rPr>
        <w:t>概况</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3</w:t>
      </w:r>
      <w:r>
        <w:rPr>
          <w:rFonts w:hint="eastAsia" w:ascii="Times New Roman" w:hAnsi="Times New Roman" w:eastAsia="仿宋_GB2312" w:cs="仿宋_GB2312"/>
          <w:b w:val="0"/>
          <w:bCs w:val="0"/>
          <w:i w:val="0"/>
          <w:iCs w:val="0"/>
          <w:caps w:val="0"/>
          <w:sz w:val="32"/>
          <w:szCs w:val="32"/>
        </w:rPr>
        <w:fldChar w:fldCharType="end"/>
      </w:r>
    </w:p>
    <w:p>
      <w:pPr>
        <w:pStyle w:val="13"/>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_Toc13157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lang w:eastAsia="zh-CN"/>
        </w:rPr>
        <w:t>一、主要职责</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3</w:t>
      </w:r>
      <w:r>
        <w:rPr>
          <w:rFonts w:hint="eastAsia" w:ascii="Times New Roman" w:hAnsi="Times New Roman" w:eastAsia="仿宋_GB2312" w:cs="仿宋_GB2312"/>
          <w:b w:val="0"/>
          <w:bCs w:val="0"/>
          <w:i w:val="0"/>
          <w:iCs w:val="0"/>
          <w:caps w:val="0"/>
          <w:sz w:val="32"/>
          <w:szCs w:val="32"/>
        </w:rPr>
        <w:fldChar w:fldCharType="end"/>
      </w:r>
    </w:p>
    <w:p>
      <w:pPr>
        <w:pStyle w:val="13"/>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_Toc1989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lang w:val="en-US" w:eastAsia="zh-CN"/>
        </w:rPr>
        <w:t>二、机构设置</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p>
    <w:p>
      <w:pPr>
        <w:pStyle w:val="12"/>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_Toc13662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 xml:space="preserve">第二部分 </w:t>
      </w:r>
      <w:r>
        <w:rPr>
          <w:rFonts w:hint="eastAsia" w:ascii="Times New Roman" w:hAnsi="Times New Roman" w:eastAsia="仿宋_GB2312" w:cs="仿宋_GB2312"/>
          <w:b w:val="0"/>
          <w:bCs w:val="0"/>
          <w:i w:val="0"/>
          <w:iCs w:val="0"/>
          <w:caps w:val="0"/>
          <w:sz w:val="32"/>
          <w:szCs w:val="32"/>
          <w:lang w:eastAsia="zh-CN"/>
        </w:rPr>
        <w:t>202</w:t>
      </w:r>
      <w:r>
        <w:rPr>
          <w:rFonts w:hint="eastAsia" w:ascii="Times New Roman" w:eastAsia="仿宋_GB2312" w:cs="仿宋_GB2312"/>
          <w:b w:val="0"/>
          <w:bCs w:val="0"/>
          <w:i w:val="0"/>
          <w:iCs w:val="0"/>
          <w:caps w:val="0"/>
          <w:sz w:val="32"/>
          <w:szCs w:val="32"/>
          <w:lang w:val="en-US" w:eastAsia="zh-CN"/>
        </w:rPr>
        <w:t>5</w:t>
      </w:r>
      <w:r>
        <w:rPr>
          <w:rFonts w:hint="eastAsia" w:ascii="Times New Roman" w:hAnsi="Times New Roman" w:eastAsia="仿宋_GB2312" w:cs="仿宋_GB2312"/>
          <w:b w:val="0"/>
          <w:bCs w:val="0"/>
          <w:i w:val="0"/>
          <w:iCs w:val="0"/>
          <w:caps w:val="0"/>
          <w:sz w:val="32"/>
          <w:szCs w:val="32"/>
        </w:rPr>
        <w:t>年度</w:t>
      </w:r>
      <w:r>
        <w:rPr>
          <w:rFonts w:hint="eastAsia" w:ascii="Times New Roman" w:hAnsi="Times New Roman" w:eastAsia="仿宋_GB2312" w:cs="仿宋_GB2312"/>
          <w:b w:val="0"/>
          <w:bCs w:val="0"/>
          <w:i w:val="0"/>
          <w:iCs w:val="0"/>
          <w:caps w:val="0"/>
          <w:sz w:val="32"/>
          <w:szCs w:val="32"/>
          <w:lang w:val="en-US" w:eastAsia="zh-CN"/>
        </w:rPr>
        <w:t>单位</w:t>
      </w:r>
      <w:r>
        <w:rPr>
          <w:rFonts w:hint="eastAsia" w:ascii="Times New Roman" w:hAnsi="Times New Roman" w:eastAsia="仿宋_GB2312" w:cs="仿宋_GB2312"/>
          <w:b w:val="0"/>
          <w:bCs w:val="0"/>
          <w:i w:val="0"/>
          <w:iCs w:val="0"/>
          <w:caps w:val="0"/>
          <w:sz w:val="32"/>
          <w:szCs w:val="32"/>
        </w:rPr>
        <w:t>决算情况说明</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5</w:t>
      </w:r>
      <w:r>
        <w:rPr>
          <w:rFonts w:hint="eastAsia" w:ascii="Times New Roman" w:hAnsi="Times New Roman" w:eastAsia="仿宋_GB2312" w:cs="仿宋_GB2312"/>
          <w:b w:val="0"/>
          <w:bCs w:val="0"/>
          <w:i w:val="0"/>
          <w:iCs w:val="0"/>
          <w:caps w:val="0"/>
          <w:sz w:val="32"/>
          <w:szCs w:val="32"/>
        </w:rPr>
        <w:fldChar w:fldCharType="end"/>
      </w:r>
    </w:p>
    <w:p>
      <w:pPr>
        <w:pStyle w:val="13"/>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_Toc18582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一、收入支出决算总体情况说明</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5</w:t>
      </w:r>
      <w:r>
        <w:rPr>
          <w:rFonts w:hint="eastAsia" w:ascii="Times New Roman" w:hAnsi="Times New Roman" w:eastAsia="仿宋_GB2312" w:cs="仿宋_GB2312"/>
          <w:b w:val="0"/>
          <w:bCs w:val="0"/>
          <w:i w:val="0"/>
          <w:iCs w:val="0"/>
          <w:caps w:val="0"/>
          <w:sz w:val="32"/>
          <w:szCs w:val="32"/>
        </w:rPr>
        <w:fldChar w:fldCharType="end"/>
      </w:r>
    </w:p>
    <w:p>
      <w:pPr>
        <w:pStyle w:val="13"/>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_Toc9811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二、收入决算情况说明</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5</w:t>
      </w:r>
      <w:r>
        <w:rPr>
          <w:rFonts w:hint="eastAsia" w:ascii="Times New Roman" w:hAnsi="Times New Roman" w:eastAsia="仿宋_GB2312" w:cs="仿宋_GB2312"/>
          <w:b w:val="0"/>
          <w:bCs w:val="0"/>
          <w:i w:val="0"/>
          <w:iCs w:val="0"/>
          <w:caps w:val="0"/>
          <w:sz w:val="32"/>
          <w:szCs w:val="32"/>
        </w:rPr>
        <w:fldChar w:fldCharType="end"/>
      </w:r>
    </w:p>
    <w:p>
      <w:pPr>
        <w:pStyle w:val="13"/>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_Toc17567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三、支出决算情况说明</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6</w:t>
      </w:r>
      <w:r>
        <w:rPr>
          <w:rFonts w:hint="eastAsia" w:ascii="Times New Roman" w:hAnsi="Times New Roman" w:eastAsia="仿宋_GB2312" w:cs="仿宋_GB2312"/>
          <w:b w:val="0"/>
          <w:bCs w:val="0"/>
          <w:i w:val="0"/>
          <w:iCs w:val="0"/>
          <w:caps w:val="0"/>
          <w:sz w:val="32"/>
          <w:szCs w:val="32"/>
        </w:rPr>
        <w:fldChar w:fldCharType="end"/>
      </w:r>
    </w:p>
    <w:p>
      <w:pPr>
        <w:pStyle w:val="13"/>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_Toc2589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四、财政拨款收入支出决算总体情况说明</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6</w:t>
      </w:r>
      <w:r>
        <w:rPr>
          <w:rFonts w:hint="eastAsia" w:ascii="Times New Roman" w:hAnsi="Times New Roman" w:eastAsia="仿宋_GB2312" w:cs="仿宋_GB2312"/>
          <w:b w:val="0"/>
          <w:bCs w:val="0"/>
          <w:i w:val="0"/>
          <w:iCs w:val="0"/>
          <w:caps w:val="0"/>
          <w:sz w:val="32"/>
          <w:szCs w:val="32"/>
        </w:rPr>
        <w:fldChar w:fldCharType="end"/>
      </w:r>
    </w:p>
    <w:p>
      <w:pPr>
        <w:pStyle w:val="13"/>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_Toc17328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五、一般公共预算财政拨款支出决算情况说明</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7</w:t>
      </w:r>
      <w:r>
        <w:rPr>
          <w:rFonts w:hint="eastAsia" w:ascii="Times New Roman" w:hAnsi="Times New Roman" w:eastAsia="仿宋_GB2312" w:cs="仿宋_GB2312"/>
          <w:b w:val="0"/>
          <w:bCs w:val="0"/>
          <w:i w:val="0"/>
          <w:iCs w:val="0"/>
          <w:caps w:val="0"/>
          <w:sz w:val="32"/>
          <w:szCs w:val="32"/>
        </w:rPr>
        <w:fldChar w:fldCharType="end"/>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_Toc30529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六、一般公共预算财政拨款基本支出决算情况说明</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1</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0</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_Toc98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七、财政拨款“三公”经费支出决算情况说明</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1</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1</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_Toc27509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八、政府性基金预算支出决算情况说明</w:t>
      </w:r>
      <w:r>
        <w:rPr>
          <w:rFonts w:hint="eastAsia" w:ascii="Times New Roman" w:hAnsi="Times New Roman" w:eastAsia="仿宋_GB2312" w:cs="仿宋_GB2312"/>
          <w:b w:val="0"/>
          <w:bCs w:val="0"/>
          <w:i w:val="0"/>
          <w:iCs w:val="0"/>
          <w:caps w:val="0"/>
          <w:sz w:val="32"/>
          <w:szCs w:val="32"/>
        </w:rPr>
        <w:tab/>
      </w:r>
      <w:r>
        <w:rPr>
          <w:rFonts w:hint="eastAsia" w:ascii="Times New Roman" w:hAnsi="Times New Roman" w:eastAsia="仿宋_GB2312" w:cs="仿宋_GB2312"/>
          <w:b w:val="0"/>
          <w:bCs w:val="0"/>
          <w:i w:val="0"/>
          <w:iCs w:val="0"/>
          <w:caps w:val="0"/>
          <w:sz w:val="32"/>
          <w:szCs w:val="32"/>
          <w:lang w:val="en-US" w:eastAsia="zh-CN"/>
        </w:rPr>
        <w:t>1</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3</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_Toc269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九、国有资本经营预算支出决算情况说明</w:t>
      </w:r>
      <w:r>
        <w:rPr>
          <w:rFonts w:hint="eastAsia" w:ascii="Times New Roman" w:hAnsi="Times New Roman" w:eastAsia="仿宋_GB2312" w:cs="仿宋_GB2312"/>
          <w:b w:val="0"/>
          <w:bCs w:val="0"/>
          <w:i w:val="0"/>
          <w:iCs w:val="0"/>
          <w:caps w:val="0"/>
          <w:sz w:val="32"/>
          <w:szCs w:val="32"/>
        </w:rPr>
        <w:tab/>
      </w:r>
      <w:r>
        <w:rPr>
          <w:rFonts w:hint="eastAsia" w:ascii="Times New Roman" w:hAnsi="Times New Roman" w:eastAsia="仿宋_GB2312" w:cs="仿宋_GB2312"/>
          <w:b w:val="0"/>
          <w:bCs w:val="0"/>
          <w:i w:val="0"/>
          <w:iCs w:val="0"/>
          <w:caps w:val="0"/>
          <w:sz w:val="32"/>
          <w:szCs w:val="32"/>
          <w:lang w:val="en-US" w:eastAsia="zh-CN"/>
        </w:rPr>
        <w:t>1</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3</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_Toc15678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十、其他重要事项的情况说明</w:t>
      </w:r>
      <w:r>
        <w:rPr>
          <w:rFonts w:hint="eastAsia" w:ascii="Times New Roman" w:hAnsi="Times New Roman" w:eastAsia="仿宋_GB2312" w:cs="仿宋_GB2312"/>
          <w:b w:val="0"/>
          <w:bCs w:val="0"/>
          <w:i w:val="0"/>
          <w:iCs w:val="0"/>
          <w:caps w:val="0"/>
          <w:sz w:val="32"/>
          <w:szCs w:val="32"/>
        </w:rPr>
        <w:tab/>
      </w:r>
      <w:r>
        <w:rPr>
          <w:rFonts w:hint="eastAsia" w:ascii="Times New Roman" w:hAnsi="Times New Roman" w:eastAsia="仿宋_GB2312" w:cs="仿宋_GB2312"/>
          <w:b w:val="0"/>
          <w:bCs w:val="0"/>
          <w:i w:val="0"/>
          <w:iCs w:val="0"/>
          <w:caps w:val="0"/>
          <w:sz w:val="32"/>
          <w:szCs w:val="32"/>
          <w:lang w:val="en-US" w:eastAsia="zh-CN"/>
        </w:rPr>
        <w:t>1</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3</w:t>
      </w:r>
    </w:p>
    <w:p>
      <w:pPr>
        <w:pStyle w:val="12"/>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_Toc19818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第三部分 名词解释</w:t>
      </w:r>
      <w:r>
        <w:rPr>
          <w:rFonts w:hint="eastAsia" w:ascii="Times New Roman" w:hAnsi="Times New Roman" w:eastAsia="仿宋_GB2312" w:cs="仿宋_GB2312"/>
          <w:b w:val="0"/>
          <w:bCs w:val="0"/>
          <w:i w:val="0"/>
          <w:iCs w:val="0"/>
          <w:caps w:val="0"/>
          <w:sz w:val="32"/>
          <w:szCs w:val="32"/>
        </w:rPr>
        <w:tab/>
      </w:r>
      <w:r>
        <w:rPr>
          <w:rFonts w:hint="eastAsia" w:ascii="Times New Roman" w:hAnsi="Times New Roman" w:eastAsia="仿宋_GB2312" w:cs="仿宋_GB2312"/>
          <w:b w:val="0"/>
          <w:bCs w:val="0"/>
          <w:i w:val="0"/>
          <w:iCs w:val="0"/>
          <w:caps w:val="0"/>
          <w:sz w:val="32"/>
          <w:szCs w:val="32"/>
          <w:lang w:val="en-US" w:eastAsia="zh-CN"/>
        </w:rPr>
        <w:t>1</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5</w:t>
      </w:r>
    </w:p>
    <w:p>
      <w:pPr>
        <w:pStyle w:val="12"/>
        <w:tabs>
          <w:tab w:val="right" w:leader="dot" w:pos="8306"/>
        </w:tabs>
        <w:rPr>
          <w:rFonts w:hint="eastAsia" w:ascii="Times New Roman" w:hAnsi="Times New Roman" w:eastAsia="仿宋_GB2312" w:cs="仿宋_GB2312"/>
          <w:b w:val="0"/>
          <w:bCs w:val="0"/>
          <w:i w:val="0"/>
          <w:iCs w:val="0"/>
          <w:caps w:val="0"/>
          <w:sz w:val="32"/>
          <w:szCs w:val="32"/>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_Toc23450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第四部分 附件</w:t>
      </w:r>
      <w:r>
        <w:rPr>
          <w:rFonts w:hint="eastAsia" w:ascii="Times New Roman" w:hAnsi="Times New Roman" w:eastAsia="仿宋_GB2312" w:cs="仿宋_GB2312"/>
          <w:b w:val="0"/>
          <w:bCs w:val="0"/>
          <w:i w:val="0"/>
          <w:iCs w:val="0"/>
          <w:caps w:val="0"/>
          <w:sz w:val="32"/>
          <w:szCs w:val="32"/>
        </w:rPr>
        <w:tab/>
      </w: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PAGEREF _Toc23450 \h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1</w:t>
      </w:r>
      <w:r>
        <w:rPr>
          <w:rFonts w:hint="eastAsia" w:ascii="Times New Roman" w:eastAsia="仿宋_GB2312" w:cs="仿宋_GB2312"/>
          <w:b w:val="0"/>
          <w:bCs w:val="0"/>
          <w:i w:val="0"/>
          <w:iCs w:val="0"/>
          <w:caps w:val="0"/>
          <w:sz w:val="32"/>
          <w:szCs w:val="32"/>
          <w:lang w:val="en-US" w:eastAsia="zh-CN"/>
        </w:rPr>
        <w:t>7</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hAnsi="Times New Roman" w:eastAsia="仿宋_GB2312" w:cs="仿宋_GB2312"/>
          <w:b w:val="0"/>
          <w:bCs w:val="0"/>
          <w:i w:val="0"/>
          <w:iCs w:val="0"/>
          <w:caps w:val="0"/>
          <w:sz w:val="32"/>
          <w:szCs w:val="32"/>
        </w:rPr>
        <w:fldChar w:fldCharType="end"/>
      </w:r>
    </w:p>
    <w:p>
      <w:pPr>
        <w:pStyle w:val="12"/>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_Toc3613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rPr>
        <w:t>第五部分 附表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_Toc21455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一、收入支出决算总表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_Toc19902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二、收入决算表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_Toc5842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三、支出决算表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_Toc3877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四、财政拨款收入支出决算总表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_Toc750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五、财政拨款支出决算明细表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_Toc19194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六、一般公共预算财政拨款支出决算表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_Toc7054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七、一般公共预算财政拨款支出决算明细表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_Toc14041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八、一般公共预算财政拨款基本支出决算</w:t>
      </w:r>
      <w:r>
        <w:rPr>
          <w:rFonts w:hint="eastAsia" w:ascii="Times New Roman" w:eastAsia="仿宋_GB2312" w:cs="仿宋_GB2312"/>
          <w:b w:val="0"/>
          <w:bCs w:val="0"/>
          <w:i w:val="0"/>
          <w:iCs w:val="0"/>
          <w:caps w:val="0"/>
          <w:sz w:val="32"/>
          <w:szCs w:val="32"/>
          <w:highlight w:val="none"/>
          <w:lang w:eastAsia="zh-CN"/>
        </w:rPr>
        <w:t>明细</w:t>
      </w:r>
      <w:r>
        <w:rPr>
          <w:rFonts w:hint="eastAsia" w:ascii="Times New Roman" w:hAnsi="Times New Roman" w:eastAsia="仿宋_GB2312" w:cs="仿宋_GB2312"/>
          <w:b w:val="0"/>
          <w:bCs w:val="0"/>
          <w:i w:val="0"/>
          <w:iCs w:val="0"/>
          <w:caps w:val="0"/>
          <w:sz w:val="32"/>
          <w:szCs w:val="32"/>
          <w:highlight w:val="none"/>
        </w:rPr>
        <w:t>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_Toc26706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九、一般公共预算财政拨款项目支出决算表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_Toc2700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十、政府性基金预算财政拨款收入支出决算表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_Toc32218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十一、国有资本经营预算</w:t>
      </w:r>
      <w:r>
        <w:rPr>
          <w:rFonts w:hint="eastAsia" w:ascii="Times New Roman" w:hAnsi="Times New Roman" w:eastAsia="仿宋_GB2312" w:cs="仿宋_GB2312"/>
          <w:b w:val="0"/>
          <w:bCs w:val="0"/>
          <w:i w:val="0"/>
          <w:iCs w:val="0"/>
          <w:caps w:val="0"/>
          <w:sz w:val="32"/>
          <w:szCs w:val="32"/>
          <w:highlight w:val="none"/>
          <w:lang w:eastAsia="zh-CN"/>
        </w:rPr>
        <w:t>财政拨款收入</w:t>
      </w:r>
      <w:r>
        <w:rPr>
          <w:rFonts w:hint="eastAsia" w:ascii="Times New Roman" w:hAnsi="Times New Roman" w:eastAsia="仿宋_GB2312" w:cs="仿宋_GB2312"/>
          <w:b w:val="0"/>
          <w:bCs w:val="0"/>
          <w:i w:val="0"/>
          <w:iCs w:val="0"/>
          <w:caps w:val="0"/>
          <w:sz w:val="32"/>
          <w:szCs w:val="32"/>
          <w:highlight w:val="none"/>
        </w:rPr>
        <w:t>支出决算表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_Toc23596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十二、</w:t>
      </w:r>
      <w:r>
        <w:rPr>
          <w:rFonts w:hint="eastAsia" w:ascii="Times New Roman" w:hAnsi="Times New Roman" w:eastAsia="仿宋_GB2312" w:cs="仿宋_GB2312"/>
          <w:b w:val="0"/>
          <w:bCs w:val="0"/>
          <w:i w:val="0"/>
          <w:iCs w:val="0"/>
          <w:caps w:val="0"/>
          <w:sz w:val="32"/>
          <w:szCs w:val="32"/>
          <w:highlight w:val="none"/>
          <w:lang w:eastAsia="zh-CN"/>
        </w:rPr>
        <w:t>国有资本经营预算财政拨款支出决算表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pStyle w:val="13"/>
        <w:tabs>
          <w:tab w:val="right" w:leader="dot" w:pos="8306"/>
        </w:tabs>
        <w:rPr>
          <w:rFonts w:hint="eastAsia" w:ascii="Times New Roman" w:hAnsi="Times New Roman" w:eastAsia="仿宋_GB2312" w:cs="仿宋_GB2312"/>
          <w:b w:val="0"/>
          <w:bCs w:val="0"/>
          <w:i w:val="0"/>
          <w:iCs w:val="0"/>
          <w:caps w:val="0"/>
          <w:sz w:val="32"/>
          <w:szCs w:val="32"/>
          <w:lang w:val="en-US" w:eastAsia="zh-CN"/>
        </w:rPr>
      </w:pPr>
      <w:r>
        <w:rPr>
          <w:rFonts w:hint="eastAsia" w:ascii="Times New Roman" w:hAnsi="Times New Roman" w:eastAsia="仿宋_GB2312" w:cs="仿宋_GB2312"/>
          <w:b w:val="0"/>
          <w:bCs w:val="0"/>
          <w:i w:val="0"/>
          <w:iCs w:val="0"/>
          <w:caps w:val="0"/>
          <w:sz w:val="32"/>
          <w:szCs w:val="32"/>
        </w:rPr>
        <w:fldChar w:fldCharType="begin"/>
      </w:r>
      <w:r>
        <w:rPr>
          <w:rFonts w:hint="eastAsia" w:ascii="Times New Roman" w:hAnsi="Times New Roman" w:eastAsia="仿宋_GB2312" w:cs="仿宋_GB2312"/>
          <w:b w:val="0"/>
          <w:bCs w:val="0"/>
          <w:i w:val="0"/>
          <w:iCs w:val="0"/>
          <w:caps w:val="0"/>
          <w:sz w:val="32"/>
          <w:szCs w:val="32"/>
        </w:rPr>
        <w:instrText xml:space="preserve"> HYPERLINK \l _Toc1521 </w:instrText>
      </w:r>
      <w:r>
        <w:rPr>
          <w:rFonts w:hint="eastAsia" w:ascii="Times New Roman" w:hAnsi="Times New Roman" w:eastAsia="仿宋_GB2312" w:cs="仿宋_GB2312"/>
          <w:b w:val="0"/>
          <w:bCs w:val="0"/>
          <w:i w:val="0"/>
          <w:iCs w:val="0"/>
          <w:caps w:val="0"/>
          <w:sz w:val="32"/>
          <w:szCs w:val="32"/>
        </w:rPr>
        <w:fldChar w:fldCharType="separate"/>
      </w:r>
      <w:r>
        <w:rPr>
          <w:rFonts w:hint="eastAsia" w:ascii="Times New Roman" w:hAnsi="Times New Roman" w:eastAsia="仿宋_GB2312" w:cs="仿宋_GB2312"/>
          <w:b w:val="0"/>
          <w:bCs w:val="0"/>
          <w:i w:val="0"/>
          <w:iCs w:val="0"/>
          <w:caps w:val="0"/>
          <w:sz w:val="32"/>
          <w:szCs w:val="32"/>
          <w:highlight w:val="none"/>
        </w:rPr>
        <w:t>十三、</w:t>
      </w:r>
      <w:r>
        <w:rPr>
          <w:rFonts w:hint="eastAsia" w:ascii="Times New Roman" w:hAnsi="Times New Roman" w:eastAsia="仿宋_GB2312" w:cs="仿宋_GB2312"/>
          <w:b w:val="0"/>
          <w:bCs w:val="0"/>
          <w:i w:val="0"/>
          <w:iCs w:val="0"/>
          <w:caps w:val="0"/>
          <w:sz w:val="32"/>
          <w:szCs w:val="32"/>
          <w:highlight w:val="none"/>
          <w:lang w:eastAsia="zh-CN"/>
        </w:rPr>
        <w:t>财政拨款“三公”经费支出决算表</w:t>
      </w:r>
      <w:r>
        <w:rPr>
          <w:rFonts w:hint="eastAsia" w:ascii="Times New Roman" w:hAnsi="Times New Roman" w:eastAsia="仿宋_GB2312" w:cs="仿宋_GB2312"/>
          <w:b w:val="0"/>
          <w:bCs w:val="0"/>
          <w:i w:val="0"/>
          <w:iCs w:val="0"/>
          <w:caps w:val="0"/>
          <w:sz w:val="32"/>
          <w:szCs w:val="32"/>
        </w:rPr>
        <w:tab/>
      </w:r>
      <w:r>
        <w:rPr>
          <w:rFonts w:hint="eastAsia" w:ascii="Times New Roman" w:eastAsia="仿宋_GB2312" w:cs="仿宋_GB2312"/>
          <w:b w:val="0"/>
          <w:bCs w:val="0"/>
          <w:i w:val="0"/>
          <w:iCs w:val="0"/>
          <w:caps w:val="0"/>
          <w:sz w:val="32"/>
          <w:szCs w:val="32"/>
          <w:lang w:val="en-US" w:eastAsia="zh-CN"/>
        </w:rPr>
        <w:t>4</w:t>
      </w:r>
      <w:r>
        <w:rPr>
          <w:rFonts w:hint="eastAsia" w:ascii="Times New Roman" w:hAnsi="Times New Roman" w:eastAsia="仿宋_GB2312" w:cs="仿宋_GB2312"/>
          <w:b w:val="0"/>
          <w:bCs w:val="0"/>
          <w:i w:val="0"/>
          <w:iCs w:val="0"/>
          <w:caps w:val="0"/>
          <w:sz w:val="32"/>
          <w:szCs w:val="32"/>
        </w:rPr>
        <w:fldChar w:fldCharType="end"/>
      </w:r>
      <w:r>
        <w:rPr>
          <w:rFonts w:hint="eastAsia" w:ascii="Times New Roman" w:eastAsia="仿宋_GB2312" w:cs="仿宋_GB2312"/>
          <w:b w:val="0"/>
          <w:bCs w:val="0"/>
          <w:i w:val="0"/>
          <w:iCs w:val="0"/>
          <w:caps w:val="0"/>
          <w:sz w:val="32"/>
          <w:szCs w:val="32"/>
          <w:lang w:val="en-US" w:eastAsia="zh-CN"/>
        </w:rPr>
        <w:t>8</w:t>
      </w:r>
    </w:p>
    <w:p>
      <w:pPr>
        <w:keepNext w:val="0"/>
        <w:keepLines w:val="0"/>
        <w:pageBreakBefore w:val="0"/>
        <w:widowControl w:val="0"/>
        <w:kinsoku/>
        <w:wordWrap/>
        <w:overflowPunct/>
        <w:topLinePunct w:val="0"/>
        <w:autoSpaceDE/>
        <w:autoSpaceDN/>
        <w:bidi w:val="0"/>
        <w:adjustRightInd/>
        <w:snapToGrid/>
        <w:spacing w:line="240" w:lineRule="auto"/>
        <w:ind w:firstLine="2400" w:firstLineChars="750"/>
        <w:textAlignment w:val="auto"/>
        <w:rPr>
          <w:rFonts w:hint="eastAsia" w:ascii="Times New Roman" w:hAnsi="Times New Roman"/>
          <w:caps w:val="0"/>
          <w:color w:val="FF0000"/>
          <w:szCs w:val="32"/>
        </w:rPr>
      </w:pPr>
      <w:r>
        <w:rPr>
          <w:rFonts w:hint="eastAsia" w:ascii="Times New Roman" w:hAnsi="Times New Roman" w:eastAsia="仿宋_GB2312" w:cs="仿宋_GB2312"/>
          <w:b w:val="0"/>
          <w:bCs w:val="0"/>
          <w:i w:val="0"/>
          <w:iCs w:val="0"/>
          <w:caps w:val="0"/>
          <w:sz w:val="32"/>
          <w:szCs w:val="32"/>
        </w:rPr>
        <w:fldChar w:fldCharType="end"/>
      </w:r>
    </w:p>
    <w:p>
      <w:pPr>
        <w:pStyle w:val="3"/>
        <w:jc w:val="center"/>
        <w:rPr>
          <w:rFonts w:hint="eastAsia" w:ascii="Times New Roman" w:hAnsi="Times New Roman" w:eastAsia="黑体"/>
          <w:b w:val="0"/>
          <w:caps w:val="0"/>
        </w:rPr>
        <w:sectPr>
          <w:pgSz w:w="11906" w:h="16838"/>
          <w:pgMar w:top="1440" w:right="1800" w:bottom="1440" w:left="1800" w:header="851" w:footer="992" w:gutter="0"/>
          <w:pgNumType w:fmt="decimal"/>
          <w:cols w:space="425" w:num="1"/>
          <w:docGrid w:type="lines" w:linePitch="312" w:charSpace="0"/>
        </w:sectPr>
      </w:pPr>
    </w:p>
    <w:p>
      <w:pPr>
        <w:pStyle w:val="3"/>
        <w:jc w:val="center"/>
        <w:rPr>
          <w:rStyle w:val="19"/>
          <w:rFonts w:ascii="Times New Roman" w:hAnsi="Times New Roman" w:eastAsia="黑体"/>
          <w:b/>
          <w:bCs w:val="0"/>
          <w:caps w:val="0"/>
        </w:rPr>
      </w:pPr>
      <w:bookmarkStart w:id="0" w:name="_Toc3028"/>
      <w:r>
        <w:rPr>
          <w:rFonts w:hint="eastAsia" w:ascii="Times New Roman" w:hAnsi="Times New Roman" w:eastAsia="黑体"/>
          <w:b w:val="0"/>
          <w:caps w:val="0"/>
        </w:rPr>
        <w:t>第一部分</w:t>
      </w:r>
      <w:r>
        <w:rPr>
          <w:rFonts w:ascii="Times New Roman" w:hAnsi="Times New Roman" w:eastAsia="黑体"/>
          <w:b w:val="0"/>
          <w:caps w:val="0"/>
        </w:rPr>
        <w:t xml:space="preserve"> </w:t>
      </w:r>
      <w:r>
        <w:rPr>
          <w:rStyle w:val="19"/>
          <w:rFonts w:hint="eastAsia" w:ascii="Times New Roman" w:hAnsi="Times New Roman" w:eastAsia="黑体"/>
          <w:b w:val="0"/>
          <w:bCs w:val="0"/>
          <w:caps w:val="0"/>
          <w:lang w:val="en-US" w:eastAsia="zh-CN"/>
        </w:rPr>
        <w:t>单位</w:t>
      </w:r>
      <w:r>
        <w:rPr>
          <w:rStyle w:val="19"/>
          <w:rFonts w:hint="eastAsia" w:ascii="Times New Roman" w:hAnsi="Times New Roman" w:eastAsia="黑体"/>
          <w:b w:val="0"/>
          <w:bCs w:val="0"/>
          <w:caps w:val="0"/>
        </w:rPr>
        <w:t>概况</w:t>
      </w:r>
      <w:bookmarkEnd w:id="0"/>
    </w:p>
    <w:p>
      <w:pPr>
        <w:widowControl/>
        <w:jc w:val="left"/>
        <w:rPr>
          <w:rFonts w:ascii="Times New Roman" w:hAnsi="Times New Roman" w:eastAsia="黑体"/>
          <w:caps w:val="0"/>
          <w:color w:val="000000"/>
          <w:sz w:val="32"/>
          <w:szCs w:val="32"/>
        </w:rPr>
      </w:pPr>
    </w:p>
    <w:p>
      <w:pPr>
        <w:pStyle w:val="4"/>
        <w:numPr>
          <w:ilvl w:val="0"/>
          <w:numId w:val="0"/>
        </w:numPr>
        <w:ind w:firstLine="640" w:firstLineChars="200"/>
        <w:rPr>
          <w:rStyle w:val="23"/>
          <w:rFonts w:hint="eastAsia" w:ascii="Times New Roman" w:hAnsi="Times New Roman" w:eastAsia="黑体"/>
          <w:b w:val="0"/>
          <w:bCs w:val="0"/>
          <w:caps w:val="0"/>
          <w:color w:val="auto"/>
          <w:highlight w:val="none"/>
          <w:lang w:eastAsia="zh-CN"/>
        </w:rPr>
      </w:pPr>
      <w:bookmarkStart w:id="1" w:name="_Toc13157"/>
      <w:bookmarkStart w:id="2" w:name="_Toc15396600"/>
      <w:bookmarkStart w:id="3" w:name="_Toc15377197"/>
      <w:r>
        <w:rPr>
          <w:rStyle w:val="23"/>
          <w:rFonts w:hint="eastAsia" w:ascii="Times New Roman" w:hAnsi="Times New Roman" w:eastAsia="黑体"/>
          <w:b w:val="0"/>
          <w:bCs w:val="0"/>
          <w:caps w:val="0"/>
          <w:color w:val="auto"/>
          <w:highlight w:val="none"/>
          <w:lang w:eastAsia="zh-CN"/>
        </w:rPr>
        <w:t>一、主要职责</w:t>
      </w:r>
      <w:bookmarkEnd w:id="1"/>
    </w:p>
    <w:p>
      <w:pPr>
        <w:snapToGrid w:val="0"/>
        <w:spacing w:line="592" w:lineRule="exact"/>
        <w:ind w:firstLine="640" w:firstLineChars="200"/>
        <w:rPr>
          <w:rFonts w:hint="eastAsia" w:ascii="Times New Roman" w:hAnsi="Times New Roman"/>
          <w:caps w:val="0"/>
          <w:color w:val="000000"/>
          <w:sz w:val="32"/>
          <w:szCs w:val="32"/>
          <w:lang w:eastAsia="zh-CN"/>
        </w:rPr>
      </w:pPr>
      <w:bookmarkStart w:id="4" w:name="_Toc1989"/>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rPr>
        <w:t>一</w:t>
      </w: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培训各级党政领导干部、公务员、国有企业领导人员、事业单位领导人员、年轻干部、理论宣传骨干、高层次人才、基层干部、党员，开展党校系统师资培训</w:t>
      </w:r>
      <w:r>
        <w:rPr>
          <w:rFonts w:hint="eastAsia" w:ascii="Times New Roman" w:hAnsi="Times New Roman"/>
          <w:caps w:val="0"/>
          <w:color w:val="000000"/>
          <w:sz w:val="32"/>
          <w:szCs w:val="32"/>
          <w:lang w:eastAsia="zh-CN"/>
        </w:rPr>
        <w:t>。</w:t>
      </w:r>
    </w:p>
    <w:p>
      <w:pPr>
        <w:snapToGrid w:val="0"/>
        <w:spacing w:line="592" w:lineRule="exact"/>
        <w:ind w:firstLine="640" w:firstLineChars="200"/>
        <w:rPr>
          <w:rFonts w:hint="eastAsia" w:ascii="Times New Roman" w:hAnsi="Times New Roman"/>
          <w:caps w:val="0"/>
          <w:color w:val="000000"/>
          <w:sz w:val="32"/>
          <w:szCs w:val="32"/>
          <w:lang w:eastAsia="zh-CN"/>
        </w:rPr>
      </w:pP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rPr>
        <w:t>二</w:t>
      </w: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加强马克思主义基本理论研究，重点研究宣传习近平新时代中国特色社会主义思想</w:t>
      </w:r>
      <w:r>
        <w:rPr>
          <w:rFonts w:hint="eastAsia" w:ascii="Times New Roman" w:hAnsi="Times New Roman"/>
          <w:caps w:val="0"/>
          <w:color w:val="000000"/>
          <w:sz w:val="32"/>
          <w:szCs w:val="32"/>
          <w:lang w:eastAsia="zh-CN"/>
        </w:rPr>
        <w:t>。</w:t>
      </w:r>
    </w:p>
    <w:p>
      <w:pPr>
        <w:snapToGrid w:val="0"/>
        <w:spacing w:line="592" w:lineRule="exact"/>
        <w:ind w:firstLine="640" w:firstLineChars="200"/>
        <w:rPr>
          <w:rFonts w:hint="eastAsia" w:ascii="Times New Roman" w:hAnsi="Times New Roman"/>
          <w:caps w:val="0"/>
          <w:color w:val="000000"/>
          <w:sz w:val="32"/>
          <w:szCs w:val="32"/>
          <w:lang w:eastAsia="zh-CN"/>
        </w:rPr>
      </w:pP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rPr>
        <w:t>三</w:t>
      </w: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承办</w:t>
      </w:r>
      <w:r>
        <w:rPr>
          <w:rFonts w:hint="eastAsia" w:ascii="Times New Roman" w:hAnsi="Times New Roman" w:eastAsia="仿宋_GB2312"/>
          <w:caps w:val="0"/>
          <w:color w:val="000000"/>
          <w:sz w:val="32"/>
          <w:szCs w:val="32"/>
        </w:rPr>
        <w:t>市委、市政府</w:t>
      </w:r>
      <w:r>
        <w:rPr>
          <w:rFonts w:hint="eastAsia" w:ascii="Times New Roman" w:hAnsi="Times New Roman" w:eastAsia="仿宋_GB2312"/>
          <w:caps w:val="0"/>
          <w:color w:val="000000"/>
          <w:sz w:val="32"/>
          <w:szCs w:val="32"/>
          <w:lang w:eastAsia="zh-CN"/>
        </w:rPr>
        <w:t>以及相关部门举办的专题</w:t>
      </w:r>
      <w:r>
        <w:rPr>
          <w:rFonts w:hint="eastAsia" w:ascii="Times New Roman" w:hAnsi="Times New Roman" w:eastAsia="仿宋_GB2312"/>
          <w:caps w:val="0"/>
          <w:color w:val="000000"/>
          <w:sz w:val="32"/>
          <w:szCs w:val="32"/>
        </w:rPr>
        <w:t>研讨班</w:t>
      </w:r>
      <w:r>
        <w:rPr>
          <w:rFonts w:hint="eastAsia" w:ascii="Times New Roman" w:hAnsi="Times New Roman"/>
          <w:caps w:val="0"/>
          <w:color w:val="000000"/>
          <w:sz w:val="32"/>
          <w:szCs w:val="32"/>
          <w:lang w:eastAsia="zh-CN"/>
        </w:rPr>
        <w:t>。</w:t>
      </w:r>
    </w:p>
    <w:p>
      <w:pPr>
        <w:snapToGrid w:val="0"/>
        <w:spacing w:line="592" w:lineRule="exact"/>
        <w:ind w:firstLine="640" w:firstLineChars="200"/>
        <w:rPr>
          <w:rFonts w:hint="eastAsia" w:ascii="Times New Roman" w:hAnsi="Times New Roman"/>
          <w:caps w:val="0"/>
          <w:color w:val="000000"/>
          <w:sz w:val="32"/>
          <w:szCs w:val="32"/>
          <w:lang w:eastAsia="zh-CN"/>
        </w:rPr>
      </w:pP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rPr>
        <w:t>四</w:t>
      </w: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开展重大理论和现实问题研究，承担市委、市政府决策咨询服务</w:t>
      </w:r>
      <w:r>
        <w:rPr>
          <w:rFonts w:hint="eastAsia" w:ascii="Times New Roman" w:hAnsi="Times New Roman"/>
          <w:caps w:val="0"/>
          <w:color w:val="000000"/>
          <w:sz w:val="32"/>
          <w:szCs w:val="32"/>
          <w:lang w:eastAsia="zh-CN"/>
        </w:rPr>
        <w:t>。</w:t>
      </w:r>
    </w:p>
    <w:p>
      <w:pPr>
        <w:snapToGrid w:val="0"/>
        <w:spacing w:line="592" w:lineRule="exact"/>
        <w:ind w:firstLine="640" w:firstLineChars="200"/>
        <w:rPr>
          <w:rFonts w:hint="eastAsia" w:ascii="Times New Roman" w:hAnsi="Times New Roman"/>
          <w:caps w:val="0"/>
          <w:color w:val="000000"/>
          <w:sz w:val="32"/>
          <w:szCs w:val="32"/>
          <w:lang w:eastAsia="zh-CN"/>
        </w:rPr>
      </w:pP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rPr>
        <w:t>五</w:t>
      </w: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以培养马克思主义理论人才为主要目标，在国家批准的学科和专业学位类别内开展学位研究生教育</w:t>
      </w:r>
      <w:r>
        <w:rPr>
          <w:rFonts w:hint="eastAsia" w:ascii="Times New Roman" w:hAnsi="Times New Roman"/>
          <w:caps w:val="0"/>
          <w:color w:val="000000"/>
          <w:sz w:val="32"/>
          <w:szCs w:val="32"/>
          <w:lang w:eastAsia="zh-CN"/>
        </w:rPr>
        <w:t>。</w:t>
      </w:r>
    </w:p>
    <w:p>
      <w:pPr>
        <w:snapToGrid w:val="0"/>
        <w:spacing w:line="592" w:lineRule="exact"/>
        <w:ind w:firstLine="640" w:firstLineChars="200"/>
        <w:rPr>
          <w:rFonts w:hint="eastAsia" w:ascii="Times New Roman" w:hAnsi="Times New Roman"/>
          <w:caps w:val="0"/>
          <w:color w:val="000000"/>
          <w:sz w:val="32"/>
          <w:szCs w:val="32"/>
          <w:lang w:eastAsia="zh-CN"/>
        </w:rPr>
      </w:pP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rPr>
        <w:t>六</w:t>
      </w: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开展同国（境）内外有关机构和组织的合作与交流</w:t>
      </w:r>
      <w:r>
        <w:rPr>
          <w:rFonts w:hint="eastAsia" w:ascii="Times New Roman" w:hAnsi="Times New Roman"/>
          <w:caps w:val="0"/>
          <w:color w:val="000000"/>
          <w:sz w:val="32"/>
          <w:szCs w:val="32"/>
          <w:lang w:eastAsia="zh-CN"/>
        </w:rPr>
        <w:t>。</w:t>
      </w:r>
    </w:p>
    <w:p>
      <w:pPr>
        <w:snapToGrid w:val="0"/>
        <w:spacing w:line="592" w:lineRule="exact"/>
        <w:ind w:firstLine="640" w:firstLineChars="200"/>
        <w:rPr>
          <w:rFonts w:hint="eastAsia" w:ascii="Times New Roman" w:hAnsi="Times New Roman"/>
          <w:caps w:val="0"/>
          <w:color w:val="000000"/>
          <w:sz w:val="32"/>
          <w:szCs w:val="32"/>
          <w:lang w:eastAsia="zh-CN"/>
        </w:rPr>
      </w:pP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七</w:t>
      </w: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参与市委关于党校工作政策以及干部培训计划的制定工作</w:t>
      </w:r>
      <w:r>
        <w:rPr>
          <w:rFonts w:hint="eastAsia" w:ascii="Times New Roman" w:hAnsi="Times New Roman"/>
          <w:caps w:val="0"/>
          <w:color w:val="000000"/>
          <w:sz w:val="32"/>
          <w:szCs w:val="32"/>
          <w:lang w:eastAsia="zh-CN"/>
        </w:rPr>
        <w:t>。</w:t>
      </w:r>
    </w:p>
    <w:p>
      <w:pPr>
        <w:snapToGrid w:val="0"/>
        <w:spacing w:line="592" w:lineRule="exact"/>
        <w:ind w:firstLine="640" w:firstLineChars="200"/>
        <w:rPr>
          <w:rFonts w:hint="eastAsia" w:ascii="Times New Roman" w:hAnsi="Times New Roman" w:eastAsia="仿宋_GB2312"/>
          <w:caps w:val="0"/>
          <w:color w:val="000000"/>
          <w:sz w:val="32"/>
          <w:szCs w:val="32"/>
        </w:rPr>
      </w:pP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八</w:t>
      </w:r>
      <w:r>
        <w:rPr>
          <w:rFonts w:hint="eastAsia" w:ascii="Times New Roman" w:hAnsi="Times New Roman"/>
          <w:caps w:val="0"/>
          <w:color w:val="000000"/>
          <w:sz w:val="32"/>
          <w:szCs w:val="32"/>
          <w:lang w:eastAsia="zh-CN"/>
        </w:rPr>
        <w:t>）</w:t>
      </w:r>
      <w:r>
        <w:rPr>
          <w:rFonts w:hint="eastAsia" w:ascii="Times New Roman" w:hAnsi="Times New Roman" w:eastAsia="仿宋_GB2312"/>
          <w:caps w:val="0"/>
          <w:color w:val="000000"/>
          <w:sz w:val="32"/>
          <w:szCs w:val="32"/>
          <w:lang w:eastAsia="zh-CN"/>
        </w:rPr>
        <w:t>完成</w:t>
      </w:r>
      <w:r>
        <w:rPr>
          <w:rFonts w:hint="eastAsia" w:ascii="Times New Roman" w:hAnsi="Times New Roman" w:eastAsia="仿宋_GB2312"/>
          <w:caps w:val="0"/>
          <w:color w:val="000000"/>
          <w:sz w:val="32"/>
          <w:szCs w:val="32"/>
        </w:rPr>
        <w:t>市委交办的其他事项。</w:t>
      </w:r>
    </w:p>
    <w:p>
      <w:pPr>
        <w:pStyle w:val="4"/>
        <w:numPr>
          <w:ilvl w:val="0"/>
          <w:numId w:val="0"/>
        </w:numPr>
        <w:ind w:firstLine="640" w:firstLineChars="200"/>
        <w:rPr>
          <w:rFonts w:hint="eastAsia" w:ascii="Times New Roman" w:hAnsi="Times New Roman" w:eastAsia="黑体"/>
          <w:b w:val="0"/>
          <w:caps w:val="0"/>
          <w:color w:val="auto"/>
          <w:highlight w:val="none"/>
        </w:rPr>
      </w:pPr>
      <w:r>
        <w:rPr>
          <w:rFonts w:hint="eastAsia" w:ascii="Times New Roman" w:hAnsi="Times New Roman" w:eastAsia="黑体"/>
          <w:b w:val="0"/>
          <w:caps w:val="0"/>
          <w:color w:val="auto"/>
          <w:highlight w:val="none"/>
          <w:lang w:val="en-US" w:eastAsia="zh-CN"/>
        </w:rPr>
        <w:t>二、</w:t>
      </w:r>
      <w:bookmarkEnd w:id="2"/>
      <w:bookmarkEnd w:id="3"/>
      <w:r>
        <w:rPr>
          <w:rFonts w:hint="eastAsia" w:ascii="Times New Roman" w:hAnsi="Times New Roman" w:eastAsia="黑体"/>
          <w:b w:val="0"/>
          <w:caps w:val="0"/>
          <w:color w:val="auto"/>
          <w:highlight w:val="none"/>
          <w:lang w:val="en-US" w:eastAsia="zh-CN"/>
        </w:rPr>
        <w:t>机构设置</w:t>
      </w:r>
      <w:bookmarkEnd w:id="4"/>
    </w:p>
    <w:p>
      <w:pPr>
        <w:pStyle w:val="7"/>
        <w:adjustRightInd w:val="0"/>
        <w:snapToGrid w:val="0"/>
        <w:spacing w:line="580" w:lineRule="exact"/>
        <w:ind w:firstLine="672" w:firstLineChars="210"/>
        <w:rPr>
          <w:rFonts w:hint="eastAsia" w:ascii="Times New Roman" w:hAnsi="Times New Roman" w:eastAsia="仿宋_GB2312" w:cs="Times New Roman"/>
          <w:bCs/>
          <w:i w:val="0"/>
          <w:iCs w:val="0"/>
          <w:color w:val="000000" w:themeColor="text1"/>
          <w:kern w:val="0"/>
          <w:sz w:val="32"/>
          <w:szCs w:val="32"/>
          <w:lang w:eastAsia="zh-CN"/>
          <w14:textFill>
            <w14:solidFill>
              <w14:schemeClr w14:val="tx1"/>
            </w14:solidFill>
          </w14:textFill>
        </w:rPr>
      </w:pPr>
      <w:r>
        <w:rPr>
          <w:rFonts w:hint="eastAsia" w:ascii="Times New Roman" w:hAnsi="Times New Roman" w:cs="仿宋"/>
          <w:bCs/>
          <w:caps w:val="0"/>
          <w:color w:val="000000" w:themeColor="text1"/>
          <w:kern w:val="0"/>
          <w:sz w:val="32"/>
          <w:szCs w:val="32"/>
          <w:lang w:eastAsia="zh-CN"/>
          <w14:textFill>
            <w14:solidFill>
              <w14:schemeClr w14:val="tx1"/>
            </w14:solidFill>
          </w14:textFill>
        </w:rPr>
        <w:t>中国共产党自贡市委员会</w:t>
      </w:r>
      <w:r>
        <w:rPr>
          <w:rFonts w:hint="eastAsia" w:ascii="Times New Roman" w:hAnsi="Times New Roman" w:eastAsia="仿宋_GB2312" w:cs="仿宋"/>
          <w:bCs/>
          <w:caps w:val="0"/>
          <w:color w:val="000000" w:themeColor="text1"/>
          <w:kern w:val="0"/>
          <w:sz w:val="32"/>
          <w:szCs w:val="32"/>
          <w14:textFill>
            <w14:solidFill>
              <w14:schemeClr w14:val="tx1"/>
            </w14:solidFill>
          </w14:textFill>
        </w:rPr>
        <w:t>党校</w:t>
      </w:r>
      <w:r>
        <w:rPr>
          <w:rFonts w:hint="eastAsia" w:ascii="Times New Roman" w:hAnsi="Times New Roman" w:eastAsia="仿宋_GB2312" w:cs="仿宋"/>
          <w:bCs/>
          <w:caps w:val="0"/>
          <w:color w:val="000000" w:themeColor="text1"/>
          <w:sz w:val="32"/>
          <w:szCs w:val="32"/>
          <w14:textFill>
            <w14:solidFill>
              <w14:schemeClr w14:val="tx1"/>
            </w14:solidFill>
          </w14:textFill>
        </w:rPr>
        <w:t>目前挂中共自贡市委党校、自贡</w:t>
      </w:r>
      <w:r>
        <w:rPr>
          <w:rFonts w:hint="eastAsia" w:ascii="Times New Roman" w:hAnsi="Times New Roman" w:eastAsia="仿宋_GB2312" w:cs="仿宋"/>
          <w:bCs/>
          <w:caps w:val="0"/>
          <w:color w:val="000000" w:themeColor="text1"/>
          <w:kern w:val="0"/>
          <w:sz w:val="32"/>
          <w:szCs w:val="32"/>
          <w14:textFill>
            <w14:solidFill>
              <w14:schemeClr w14:val="tx1"/>
            </w14:solidFill>
          </w14:textFill>
        </w:rPr>
        <w:t>市行政学院、中共自贡市委</w:t>
      </w:r>
      <w:r>
        <w:rPr>
          <w:rFonts w:hint="eastAsia" w:ascii="Times New Roman" w:hAnsi="Times New Roman" w:cs="仿宋"/>
          <w:bCs/>
          <w:caps w:val="0"/>
          <w:color w:val="000000" w:themeColor="text1"/>
          <w:kern w:val="0"/>
          <w:sz w:val="32"/>
          <w:szCs w:val="32"/>
          <w:lang w:eastAsia="zh-CN"/>
          <w14:textFill>
            <w14:solidFill>
              <w14:schemeClr w14:val="tx1"/>
            </w14:solidFill>
          </w14:textFill>
        </w:rPr>
        <w:t>在职干部理论学习</w:t>
      </w:r>
      <w:r>
        <w:rPr>
          <w:rFonts w:hint="eastAsia" w:ascii="Times New Roman" w:hAnsi="Times New Roman" w:eastAsia="仿宋_GB2312" w:cs="仿宋"/>
          <w:bCs/>
          <w:caps w:val="0"/>
          <w:color w:val="000000" w:themeColor="text1"/>
          <w:kern w:val="0"/>
          <w:sz w:val="32"/>
          <w:szCs w:val="32"/>
          <w14:textFill>
            <w14:solidFill>
              <w14:schemeClr w14:val="tx1"/>
            </w14:solidFill>
          </w14:textFill>
        </w:rPr>
        <w:t>讲师团</w:t>
      </w:r>
      <w:r>
        <w:rPr>
          <w:rFonts w:hint="eastAsia" w:ascii="Times New Roman" w:hAnsi="Times New Roman" w:cs="仿宋"/>
          <w:bCs/>
          <w:caps w:val="0"/>
          <w:color w:val="000000" w:themeColor="text1"/>
          <w:kern w:val="0"/>
          <w:sz w:val="32"/>
          <w:szCs w:val="32"/>
          <w:lang w:eastAsia="zh-CN"/>
          <w14:textFill>
            <w14:solidFill>
              <w14:schemeClr w14:val="tx1"/>
            </w14:solidFill>
          </w14:textFill>
        </w:rPr>
        <w:t>、</w:t>
      </w:r>
      <w:r>
        <w:rPr>
          <w:rFonts w:hint="eastAsia" w:ascii="Times New Roman" w:hAnsi="Times New Roman" w:eastAsia="仿宋_GB2312" w:cs="仿宋"/>
          <w:bCs/>
          <w:caps w:val="0"/>
          <w:color w:val="000000" w:themeColor="text1"/>
          <w:kern w:val="0"/>
          <w:sz w:val="32"/>
          <w:szCs w:val="32"/>
          <w14:textFill>
            <w14:solidFill>
              <w14:schemeClr w14:val="tx1"/>
            </w14:solidFill>
          </w14:textFill>
        </w:rPr>
        <w:t>自贡市国家公务员培训中心、自贡市专业技术人员继续教育中心</w:t>
      </w:r>
      <w:r>
        <w:rPr>
          <w:rFonts w:hint="eastAsia" w:ascii="Times New Roman" w:hAnsi="Times New Roman" w:cs="仿宋"/>
          <w:bCs/>
          <w:caps w:val="0"/>
          <w:color w:val="000000" w:themeColor="text1"/>
          <w:kern w:val="0"/>
          <w:sz w:val="32"/>
          <w:szCs w:val="32"/>
          <w:lang w:eastAsia="zh-CN"/>
          <w14:textFill>
            <w14:solidFill>
              <w14:schemeClr w14:val="tx1"/>
            </w14:solidFill>
          </w14:textFill>
        </w:rPr>
        <w:t>、</w:t>
      </w:r>
      <w:r>
        <w:rPr>
          <w:rFonts w:hint="eastAsia" w:ascii="Times New Roman" w:hAnsi="Times New Roman" w:eastAsia="仿宋_GB2312" w:cs="仿宋"/>
          <w:bCs/>
          <w:caps w:val="0"/>
          <w:color w:val="000000" w:themeColor="text1"/>
          <w:kern w:val="0"/>
          <w:sz w:val="32"/>
          <w:szCs w:val="32"/>
          <w14:textFill>
            <w14:solidFill>
              <w14:schemeClr w14:val="tx1"/>
            </w14:solidFill>
          </w14:textFill>
        </w:rPr>
        <w:t>自贡市社会主义学院六块牌子。学校内设科室16个：</w:t>
      </w:r>
      <w:r>
        <w:rPr>
          <w:rFonts w:hint="eastAsia" w:ascii="Times New Roman" w:hAnsi="Times New Roman"/>
          <w:color w:val="000000" w:themeColor="text1"/>
          <w:sz w:val="32"/>
          <w:szCs w:val="32"/>
          <w14:textFill>
            <w14:solidFill>
              <w14:schemeClr w14:val="tx1"/>
            </w14:solidFill>
          </w14:textFill>
        </w:rPr>
        <w:t>办公室、财务科、</w:t>
      </w:r>
      <w:r>
        <w:rPr>
          <w:rFonts w:hint="eastAsia" w:ascii="Times New Roman" w:hAnsi="Times New Roman"/>
          <w:color w:val="000000" w:themeColor="text1"/>
          <w:sz w:val="32"/>
          <w:szCs w:val="32"/>
          <w:lang w:eastAsia="zh-CN"/>
          <w14:textFill>
            <w14:solidFill>
              <w14:schemeClr w14:val="tx1"/>
            </w14:solidFill>
          </w14:textFill>
        </w:rPr>
        <w:t>教务科、</w:t>
      </w:r>
      <w:r>
        <w:rPr>
          <w:rFonts w:hint="eastAsia" w:ascii="Times New Roman" w:hAnsi="Times New Roman"/>
          <w:color w:val="000000" w:themeColor="text1"/>
          <w:sz w:val="32"/>
          <w:szCs w:val="32"/>
          <w14:textFill>
            <w14:solidFill>
              <w14:schemeClr w14:val="tx1"/>
            </w14:solidFill>
          </w14:textFill>
        </w:rPr>
        <w:t>科研科、电教网络</w:t>
      </w:r>
      <w:r>
        <w:rPr>
          <w:rFonts w:hint="eastAsia" w:ascii="Times New Roman" w:hAnsi="Times New Roman"/>
          <w:color w:val="000000" w:themeColor="text1"/>
          <w:sz w:val="32"/>
          <w:szCs w:val="32"/>
          <w:lang w:eastAsia="zh-CN"/>
          <w14:textFill>
            <w14:solidFill>
              <w14:schemeClr w14:val="tx1"/>
            </w14:solidFill>
          </w14:textFill>
        </w:rPr>
        <w:t>室、组织</w:t>
      </w:r>
      <w:r>
        <w:rPr>
          <w:rFonts w:hint="eastAsia" w:ascii="Times New Roman" w:hAnsi="Times New Roman"/>
          <w:color w:val="000000" w:themeColor="text1"/>
          <w:sz w:val="32"/>
          <w:szCs w:val="32"/>
          <w14:textFill>
            <w14:solidFill>
              <w14:schemeClr w14:val="tx1"/>
            </w14:solidFill>
          </w14:textFill>
        </w:rPr>
        <w:t>人事科</w:t>
      </w:r>
      <w:r>
        <w:rPr>
          <w:rFonts w:hint="eastAsia" w:ascii="Times New Roman" w:hAnsi="Times New Roman"/>
          <w:color w:val="000000" w:themeColor="text1"/>
          <w:sz w:val="32"/>
          <w:szCs w:val="32"/>
          <w:lang w:eastAsia="zh-CN"/>
          <w14:textFill>
            <w14:solidFill>
              <w14:schemeClr w14:val="tx1"/>
            </w14:solidFill>
          </w14:textFill>
        </w:rPr>
        <w:t>、</w:t>
      </w:r>
      <w:r>
        <w:rPr>
          <w:rFonts w:hint="eastAsia" w:ascii="Times New Roman" w:hAnsi="Times New Roman"/>
          <w:color w:val="000000" w:themeColor="text1"/>
          <w:sz w:val="32"/>
          <w:szCs w:val="32"/>
          <w14:textFill>
            <w14:solidFill>
              <w14:schemeClr w14:val="tx1"/>
            </w14:solidFill>
          </w14:textFill>
        </w:rPr>
        <w:t>后勤科、研究生管理科</w:t>
      </w:r>
      <w:r>
        <w:rPr>
          <w:rFonts w:hint="eastAsia" w:ascii="Times New Roman" w:hAnsi="Times New Roman"/>
          <w:color w:val="000000" w:themeColor="text1"/>
          <w:sz w:val="32"/>
          <w:szCs w:val="32"/>
          <w:lang w:eastAsia="zh-CN"/>
          <w14:textFill>
            <w14:solidFill>
              <w14:schemeClr w14:val="tx1"/>
            </w14:solidFill>
          </w14:textFill>
        </w:rPr>
        <w:t>（专业技术人员培训科）</w:t>
      </w:r>
      <w:r>
        <w:rPr>
          <w:rFonts w:hint="eastAsia" w:ascii="Times New Roman" w:hAnsi="Times New Roman"/>
          <w:color w:val="000000" w:themeColor="text1"/>
          <w:sz w:val="32"/>
          <w:szCs w:val="32"/>
          <w14:textFill>
            <w14:solidFill>
              <w14:schemeClr w14:val="tx1"/>
            </w14:solidFill>
          </w14:textFill>
        </w:rPr>
        <w:t>、培训科、对外合作培训部、研究室</w:t>
      </w:r>
      <w:r>
        <w:rPr>
          <w:rFonts w:hint="eastAsia" w:ascii="Times New Roman" w:hAnsi="Times New Roman"/>
          <w:color w:val="000000" w:themeColor="text1"/>
          <w:sz w:val="32"/>
          <w:szCs w:val="32"/>
          <w:lang w:eastAsia="zh-CN"/>
          <w14:textFill>
            <w14:solidFill>
              <w14:schemeClr w14:val="tx1"/>
            </w14:solidFill>
          </w14:textFill>
        </w:rPr>
        <w:t>、马克思主义理论和哲学</w:t>
      </w:r>
      <w:r>
        <w:rPr>
          <w:rFonts w:hint="eastAsia" w:ascii="Times New Roman" w:hAnsi="Times New Roman"/>
          <w:color w:val="000000" w:themeColor="text1"/>
          <w:sz w:val="32"/>
          <w:szCs w:val="32"/>
          <w14:textFill>
            <w14:solidFill>
              <w14:schemeClr w14:val="tx1"/>
            </w14:solidFill>
          </w14:textFill>
        </w:rPr>
        <w:t>教研室、</w:t>
      </w:r>
      <w:r>
        <w:rPr>
          <w:rFonts w:hint="eastAsia" w:ascii="Times New Roman" w:hAnsi="Times New Roman"/>
          <w:color w:val="000000" w:themeColor="text1"/>
          <w:sz w:val="32"/>
          <w:szCs w:val="32"/>
          <w:lang w:eastAsia="zh-CN"/>
          <w14:textFill>
            <w14:solidFill>
              <w14:schemeClr w14:val="tx1"/>
            </w14:solidFill>
          </w14:textFill>
        </w:rPr>
        <w:t>科学社会主义和党史党建教研室、公共</w:t>
      </w:r>
      <w:r>
        <w:rPr>
          <w:rFonts w:hint="eastAsia" w:ascii="Times New Roman" w:hAnsi="Times New Roman"/>
          <w:color w:val="000000" w:themeColor="text1"/>
          <w:sz w:val="32"/>
          <w:szCs w:val="32"/>
          <w14:textFill>
            <w14:solidFill>
              <w14:schemeClr w14:val="tx1"/>
            </w14:solidFill>
          </w14:textFill>
        </w:rPr>
        <w:t>管理</w:t>
      </w:r>
      <w:r>
        <w:rPr>
          <w:rFonts w:hint="eastAsia" w:ascii="Times New Roman" w:hAnsi="Times New Roman"/>
          <w:color w:val="000000" w:themeColor="text1"/>
          <w:sz w:val="32"/>
          <w:szCs w:val="32"/>
          <w:lang w:eastAsia="zh-CN"/>
          <w14:textFill>
            <w14:solidFill>
              <w14:schemeClr w14:val="tx1"/>
            </w14:solidFill>
          </w14:textFill>
        </w:rPr>
        <w:t>和法学</w:t>
      </w:r>
      <w:r>
        <w:rPr>
          <w:rFonts w:hint="eastAsia" w:ascii="Times New Roman" w:hAnsi="Times New Roman"/>
          <w:color w:val="000000" w:themeColor="text1"/>
          <w:sz w:val="32"/>
          <w:szCs w:val="32"/>
          <w14:textFill>
            <w14:solidFill>
              <w14:schemeClr w14:val="tx1"/>
            </w14:solidFill>
          </w14:textFill>
        </w:rPr>
        <w:t>教研室、</w:t>
      </w:r>
      <w:r>
        <w:rPr>
          <w:rFonts w:hint="eastAsia" w:ascii="Times New Roman" w:hAnsi="Times New Roman"/>
          <w:color w:val="000000" w:themeColor="text1"/>
          <w:sz w:val="32"/>
          <w:szCs w:val="32"/>
          <w:lang w:eastAsia="zh-CN"/>
          <w14:textFill>
            <w14:solidFill>
              <w14:schemeClr w14:val="tx1"/>
            </w14:solidFill>
          </w14:textFill>
        </w:rPr>
        <w:t>统一战线和</w:t>
      </w:r>
      <w:r>
        <w:rPr>
          <w:rFonts w:hint="eastAsia" w:ascii="Times New Roman" w:hAnsi="Times New Roman"/>
          <w:color w:val="000000" w:themeColor="text1"/>
          <w:sz w:val="32"/>
          <w:szCs w:val="32"/>
          <w14:textFill>
            <w14:solidFill>
              <w14:schemeClr w14:val="tx1"/>
            </w14:solidFill>
          </w14:textFill>
        </w:rPr>
        <w:t>经济学教研室</w:t>
      </w:r>
      <w:r>
        <w:rPr>
          <w:rFonts w:hint="eastAsia" w:ascii="Times New Roman" w:hAnsi="Times New Roman"/>
          <w:color w:val="000000" w:themeColor="text1"/>
          <w:sz w:val="32"/>
          <w:szCs w:val="32"/>
          <w:lang w:eastAsia="zh-CN"/>
          <w14:textFill>
            <w14:solidFill>
              <w14:schemeClr w14:val="tx1"/>
            </w14:solidFill>
          </w14:textFill>
        </w:rPr>
        <w:t>、社会文化和生态文明教研室</w:t>
      </w:r>
      <w:r>
        <w:rPr>
          <w:rFonts w:hint="eastAsia" w:ascii="Times New Roman" w:hAnsi="Times New Roman"/>
          <w:color w:val="000000" w:themeColor="text1"/>
          <w:sz w:val="32"/>
          <w:szCs w:val="32"/>
          <w14:textFill>
            <w14:solidFill>
              <w14:schemeClr w14:val="tx1"/>
            </w14:solidFill>
          </w14:textFill>
        </w:rPr>
        <w:t>等科室。</w:t>
      </w:r>
    </w:p>
    <w:p>
      <w:pPr>
        <w:spacing w:line="592" w:lineRule="exact"/>
        <w:ind w:firstLine="640" w:firstLineChars="200"/>
        <w:rPr>
          <w:rFonts w:hint="eastAsia" w:ascii="Times New Roman" w:hAnsi="Times New Roman" w:eastAsia="仿宋_GB2312" w:cs="仿宋"/>
          <w:bCs/>
          <w:caps w:val="0"/>
          <w:color w:val="000000" w:themeColor="text1"/>
          <w:kern w:val="0"/>
          <w:sz w:val="32"/>
          <w:szCs w:val="32"/>
          <w:lang w:val="en-US" w:eastAsia="zh-CN"/>
          <w14:textFill>
            <w14:solidFill>
              <w14:schemeClr w14:val="tx1"/>
            </w14:solidFill>
          </w14:textFill>
        </w:rPr>
      </w:pPr>
    </w:p>
    <w:p>
      <w:pPr>
        <w:widowControl/>
        <w:jc w:val="left"/>
        <w:rPr>
          <w:rFonts w:ascii="Times New Roman" w:hAnsi="Times New Roman" w:eastAsia="仿宋"/>
          <w:caps w:val="0"/>
          <w:color w:val="000000"/>
          <w:kern w:val="0"/>
          <w:sz w:val="32"/>
          <w:szCs w:val="32"/>
        </w:rPr>
      </w:pPr>
    </w:p>
    <w:p>
      <w:pPr>
        <w:rPr>
          <w:rFonts w:hint="eastAsia" w:ascii="Times New Roman" w:hAnsi="Times New Roman" w:eastAsia="黑体"/>
          <w:b w:val="0"/>
          <w:caps w:val="0"/>
          <w:color w:val="000000"/>
        </w:rPr>
      </w:pPr>
      <w:bookmarkStart w:id="5" w:name="_Toc15396602"/>
      <w:bookmarkStart w:id="6" w:name="_Toc15377204"/>
      <w:r>
        <w:rPr>
          <w:rFonts w:hint="eastAsia" w:ascii="Times New Roman" w:hAnsi="Times New Roman" w:eastAsia="黑体"/>
          <w:b w:val="0"/>
          <w:caps w:val="0"/>
          <w:color w:val="000000"/>
        </w:rPr>
        <w:br w:type="page"/>
      </w:r>
    </w:p>
    <w:p>
      <w:pPr>
        <w:pStyle w:val="3"/>
        <w:ind w:right="440"/>
        <w:jc w:val="right"/>
        <w:rPr>
          <w:rStyle w:val="19"/>
          <w:rFonts w:ascii="Times New Roman" w:hAnsi="Times New Roman" w:eastAsia="黑体"/>
          <w:b w:val="0"/>
          <w:bCs w:val="0"/>
          <w:caps w:val="0"/>
        </w:rPr>
      </w:pPr>
      <w:bookmarkStart w:id="7" w:name="_Toc13662"/>
      <w:r>
        <w:rPr>
          <w:rFonts w:hint="eastAsia" w:ascii="Times New Roman" w:hAnsi="Times New Roman" w:eastAsia="黑体"/>
          <w:b w:val="0"/>
          <w:caps w:val="0"/>
          <w:color w:val="000000"/>
        </w:rPr>
        <w:t>第二部分</w:t>
      </w:r>
      <w:r>
        <w:rPr>
          <w:rFonts w:ascii="Times New Roman" w:hAnsi="Times New Roman" w:eastAsia="黑体"/>
          <w:caps w:val="0"/>
          <w:color w:val="000000"/>
        </w:rPr>
        <w:t xml:space="preserve"> </w:t>
      </w:r>
      <w:r>
        <w:rPr>
          <w:rStyle w:val="19"/>
          <w:rFonts w:hint="eastAsia" w:ascii="Times New Roman" w:hAnsi="Times New Roman" w:eastAsia="黑体"/>
          <w:b w:val="0"/>
          <w:bCs w:val="0"/>
          <w:caps w:val="0"/>
          <w:lang w:eastAsia="zh-CN"/>
        </w:rPr>
        <w:t>202</w:t>
      </w:r>
      <w:r>
        <w:rPr>
          <w:rStyle w:val="19"/>
          <w:rFonts w:hint="eastAsia" w:eastAsia="黑体"/>
          <w:b w:val="0"/>
          <w:bCs w:val="0"/>
          <w:caps w:val="0"/>
          <w:lang w:val="en-US" w:eastAsia="zh-CN"/>
        </w:rPr>
        <w:t>5</w:t>
      </w:r>
      <w:r>
        <w:rPr>
          <w:rStyle w:val="19"/>
          <w:rFonts w:hint="eastAsia" w:ascii="Times New Roman" w:hAnsi="Times New Roman" w:eastAsia="黑体"/>
          <w:b w:val="0"/>
          <w:bCs w:val="0"/>
          <w:caps w:val="0"/>
        </w:rPr>
        <w:t>年度</w:t>
      </w:r>
      <w:r>
        <w:rPr>
          <w:rStyle w:val="19"/>
          <w:rFonts w:hint="eastAsia" w:ascii="Times New Roman" w:hAnsi="Times New Roman" w:eastAsia="黑体"/>
          <w:b w:val="0"/>
          <w:bCs w:val="0"/>
          <w:caps w:val="0"/>
          <w:lang w:val="en-US" w:eastAsia="zh-CN"/>
        </w:rPr>
        <w:t>单位</w:t>
      </w:r>
      <w:r>
        <w:rPr>
          <w:rStyle w:val="19"/>
          <w:rFonts w:hint="eastAsia" w:ascii="Times New Roman" w:hAnsi="Times New Roman" w:eastAsia="黑体"/>
          <w:b w:val="0"/>
          <w:bCs w:val="0"/>
          <w:caps w:val="0"/>
        </w:rPr>
        <w:t>决算情况说明</w:t>
      </w:r>
      <w:bookmarkEnd w:id="5"/>
      <w:bookmarkEnd w:id="6"/>
      <w:bookmarkEnd w:id="7"/>
    </w:p>
    <w:p>
      <w:pPr>
        <w:rPr>
          <w:rFonts w:ascii="Times New Roman" w:hAnsi="Times New Roman"/>
          <w:caps w:val="0"/>
        </w:rPr>
      </w:pPr>
    </w:p>
    <w:p>
      <w:pPr>
        <w:pStyle w:val="21"/>
        <w:numPr>
          <w:ilvl w:val="0"/>
          <w:numId w:val="1"/>
        </w:numPr>
        <w:spacing w:line="600" w:lineRule="exact"/>
        <w:ind w:firstLineChars="0"/>
        <w:outlineLvl w:val="1"/>
        <w:rPr>
          <w:rStyle w:val="20"/>
          <w:rFonts w:ascii="Times New Roman" w:hAnsi="Times New Roman" w:eastAsia="黑体"/>
          <w:b w:val="0"/>
          <w:caps w:val="0"/>
          <w:color w:val="000000" w:themeColor="text1"/>
          <w14:textFill>
            <w14:solidFill>
              <w14:schemeClr w14:val="tx1"/>
            </w14:solidFill>
          </w14:textFill>
        </w:rPr>
      </w:pPr>
      <w:bookmarkStart w:id="8" w:name="_Toc15377205"/>
      <w:bookmarkStart w:id="9" w:name="_Toc17065"/>
      <w:bookmarkStart w:id="10" w:name="_Toc15396603"/>
      <w:r>
        <w:rPr>
          <w:rFonts w:hint="eastAsia" w:ascii="Times New Roman" w:hAnsi="Times New Roman" w:eastAsia="黑体"/>
          <w:caps w:val="0"/>
          <w:color w:val="000000" w:themeColor="text1"/>
          <w:sz w:val="32"/>
          <w:szCs w:val="32"/>
          <w14:textFill>
            <w14:solidFill>
              <w14:schemeClr w14:val="tx1"/>
            </w14:solidFill>
          </w14:textFill>
        </w:rPr>
        <w:t>收</w:t>
      </w:r>
      <w:r>
        <w:rPr>
          <w:rStyle w:val="20"/>
          <w:rFonts w:hint="eastAsia" w:ascii="Times New Roman" w:hAnsi="Times New Roman" w:eastAsia="黑体"/>
          <w:b w:val="0"/>
          <w:caps w:val="0"/>
          <w:color w:val="000000" w:themeColor="text1"/>
          <w14:textFill>
            <w14:solidFill>
              <w14:schemeClr w14:val="tx1"/>
            </w14:solidFill>
          </w14:textFill>
        </w:rPr>
        <w:t>入支出决算总体情况说明</w:t>
      </w:r>
      <w:bookmarkEnd w:id="8"/>
      <w:bookmarkEnd w:id="9"/>
      <w:bookmarkEnd w:id="10"/>
    </w:p>
    <w:p>
      <w:pPr>
        <w:spacing w:line="600" w:lineRule="exact"/>
        <w:ind w:firstLine="640" w:firstLineChars="200"/>
        <w:rPr>
          <w:rFonts w:hint="eastAsia" w:ascii="Times New Roman" w:hAnsi="Times New Roman" w:eastAsia="仿宋_GB2312" w:cs="仿宋_GB2312"/>
          <w:caps w:val="0"/>
          <w:color w:val="000000" w:themeColor="text1"/>
          <w:sz w:val="32"/>
          <w:szCs w:val="32"/>
          <w:lang w:eastAsia="zh-CN"/>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年</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度</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总计</w:t>
      </w:r>
      <w:r>
        <w:rPr>
          <w:rFonts w:hint="eastAsia" w:cs="仿宋_GB2312"/>
          <w:caps w:val="0"/>
          <w:color w:val="000000" w:themeColor="text1"/>
          <w:sz w:val="32"/>
          <w:szCs w:val="32"/>
          <w:highlight w:val="none"/>
          <w:lang w:eastAsia="zh-CN"/>
          <w14:textFill>
            <w14:solidFill>
              <w14:schemeClr w14:val="tx1"/>
            </w14:solidFill>
          </w14:textFill>
        </w:rPr>
        <w:t>均为</w:t>
      </w:r>
      <w:r>
        <w:rPr>
          <w:rFonts w:hint="eastAsia" w:cs="仿宋_GB2312"/>
          <w:caps w:val="0"/>
          <w:color w:val="000000" w:themeColor="text1"/>
          <w:sz w:val="32"/>
          <w:szCs w:val="32"/>
          <w:highlight w:val="none"/>
          <w:lang w:val="en-US" w:eastAsia="zh-CN"/>
          <w14:textFill>
            <w14:solidFill>
              <w14:schemeClr w14:val="tx1"/>
            </w14:solidFill>
          </w14:textFill>
        </w:rPr>
        <w:t>3361.96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万元。与</w:t>
      </w:r>
      <w:r>
        <w:rPr>
          <w:rFonts w:hint="eastAsia" w:cs="仿宋_GB2312"/>
          <w:caps w:val="0"/>
          <w:color w:val="000000" w:themeColor="text1"/>
          <w:sz w:val="32"/>
          <w:szCs w:val="32"/>
          <w:highlight w:val="none"/>
          <w:lang w:eastAsia="zh-CN"/>
          <w14:textFill>
            <w14:solidFill>
              <w14:schemeClr w14:val="tx1"/>
            </w14:solidFill>
          </w14:textFill>
        </w:rPr>
        <w:t>上年度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相比，</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总计各</w:t>
      </w:r>
      <w:r>
        <w:rPr>
          <w:rFonts w:hint="eastAsia" w:cs="仿宋_GB2312"/>
          <w:caps w:val="0"/>
          <w:color w:val="000000" w:themeColor="text1"/>
          <w:sz w:val="32"/>
          <w:szCs w:val="32"/>
          <w:highlight w:val="none"/>
          <w:lang w:eastAsia="zh-CN"/>
          <w14:textFill>
            <w14:solidFill>
              <w14:schemeClr w14:val="tx1"/>
            </w14:solidFill>
          </w14:textFill>
        </w:rPr>
        <w:t>增加</w:t>
      </w:r>
      <w:r>
        <w:rPr>
          <w:rFonts w:hint="eastAsia" w:cs="仿宋_GB2312"/>
          <w:caps w:val="0"/>
          <w:color w:val="000000" w:themeColor="text1"/>
          <w:sz w:val="32"/>
          <w:szCs w:val="32"/>
          <w:highlight w:val="none"/>
          <w:lang w:val="en-US" w:eastAsia="zh-CN"/>
          <w14:textFill>
            <w14:solidFill>
              <w14:schemeClr w14:val="tx1"/>
            </w14:solidFill>
          </w14:textFill>
        </w:rPr>
        <w:t>1177.22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增长</w:t>
      </w:r>
      <w:r>
        <w:rPr>
          <w:rFonts w:hint="eastAsia" w:cs="仿宋_GB2312"/>
          <w:caps w:val="0"/>
          <w:color w:val="000000" w:themeColor="text1"/>
          <w:sz w:val="32"/>
          <w:szCs w:val="32"/>
          <w:highlight w:val="none"/>
          <w:lang w:val="en-US" w:eastAsia="zh-CN"/>
          <w14:textFill>
            <w14:solidFill>
              <w14:schemeClr w14:val="tx1"/>
            </w14:solidFill>
          </w14:textFill>
        </w:rPr>
        <w:t>53.88</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%。主要变动原因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一是追加了党校迁建项目工程款部分尾款，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二是新增下达了省级干部教育培训机构质量提升专项资金，三是2025年对外合作培训班次人次较上年增加，收</w:t>
      </w:r>
      <w:r>
        <w:rPr>
          <w:rFonts w:hint="eastAsia" w:cs="Times New Roman"/>
          <w:color w:val="000000" w:themeColor="text1"/>
          <w:sz w:val="32"/>
          <w:szCs w:val="32"/>
          <w:lang w:val="en-US" w:eastAsia="zh-CN"/>
          <w14:textFill>
            <w14:solidFill>
              <w14:schemeClr w14:val="tx1"/>
            </w14:solidFill>
          </w14:textFill>
        </w:rPr>
        <w:t>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也较上年有所增加</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w:t>
      </w:r>
    </w:p>
    <w:p>
      <w:pPr>
        <w:spacing w:line="600" w:lineRule="exact"/>
        <w:ind w:firstLine="6720" w:firstLineChars="2100"/>
        <w:rPr>
          <w:rFonts w:hint="eastAsia" w:ascii="Times New Roman" w:hAnsi="Times New Roman"/>
          <w:caps w:val="0"/>
          <w:color w:val="000000" w:themeColor="text1"/>
          <w:lang w:eastAsia="zh-CN"/>
          <w14:textFill>
            <w14:solidFill>
              <w14:schemeClr w14:val="tx1"/>
            </w14:solidFill>
          </w14:textFill>
        </w:rPr>
      </w:pPr>
      <w:r>
        <w:rPr>
          <w:rFonts w:hint="eastAsia" w:ascii="Times New Roman" w:hAnsi="Times New Roman"/>
          <w:caps w:val="0"/>
          <w:color w:val="000000" w:themeColor="text1"/>
          <w:lang w:eastAsia="zh-CN"/>
          <w14:textFill>
            <w14:solidFill>
              <w14:schemeClr w14:val="tx1"/>
            </w14:solidFill>
          </w14:textFill>
        </w:rPr>
        <w:t>单位：万元</w:t>
      </w:r>
    </w:p>
    <w:p>
      <w:pPr>
        <w:pStyle w:val="2"/>
      </w:pPr>
      <w:r>
        <w:drawing>
          <wp:anchor distT="0" distB="0" distL="114300" distR="114300" simplePos="0" relativeHeight="251659264" behindDoc="0" locked="0" layoutInCell="1" allowOverlap="1">
            <wp:simplePos x="0" y="0"/>
            <wp:positionH relativeFrom="column">
              <wp:posOffset>648970</wp:posOffset>
            </wp:positionH>
            <wp:positionV relativeFrom="paragraph">
              <wp:posOffset>19685</wp:posOffset>
            </wp:positionV>
            <wp:extent cx="4314190" cy="2686685"/>
            <wp:effectExtent l="4445" t="4445" r="5715" b="13970"/>
            <wp:wrapNone/>
            <wp:docPr id="113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spacing w:line="600" w:lineRule="exact"/>
        <w:ind w:firstLine="640" w:firstLineChars="200"/>
        <w:rPr>
          <w:rFonts w:ascii="Times New Roman" w:hAnsi="Times New Roman"/>
          <w:caps w:val="0"/>
          <w:color w:val="000000" w:themeColor="text1"/>
          <w14:textFill>
            <w14:solidFill>
              <w14:schemeClr w14:val="tx1"/>
            </w14:solidFill>
          </w14:textFill>
        </w:rPr>
      </w:pPr>
    </w:p>
    <w:p>
      <w:pPr>
        <w:spacing w:line="600" w:lineRule="exact"/>
        <w:ind w:firstLine="640" w:firstLineChars="200"/>
        <w:rPr>
          <w:rFonts w:ascii="Times New Roman" w:hAnsi="Times New Roman"/>
          <w:caps w:val="0"/>
          <w:color w:val="000000" w:themeColor="text1"/>
          <w14:textFill>
            <w14:solidFill>
              <w14:schemeClr w14:val="tx1"/>
            </w14:solidFill>
          </w14:textFill>
        </w:rPr>
      </w:pPr>
    </w:p>
    <w:p>
      <w:pPr>
        <w:spacing w:line="600" w:lineRule="exact"/>
        <w:ind w:firstLine="640" w:firstLineChars="200"/>
        <w:rPr>
          <w:rFonts w:ascii="Times New Roman" w:hAnsi="Times New Roman"/>
          <w:caps w:val="0"/>
          <w:color w:val="000000" w:themeColor="text1"/>
          <w14:textFill>
            <w14:solidFill>
              <w14:schemeClr w14:val="tx1"/>
            </w14:solidFill>
          </w14:textFill>
        </w:rPr>
      </w:pPr>
    </w:p>
    <w:p>
      <w:pPr>
        <w:spacing w:line="600" w:lineRule="exact"/>
        <w:ind w:firstLine="640" w:firstLineChars="200"/>
        <w:rPr>
          <w:rFonts w:ascii="Times New Roman" w:hAnsi="Times New Roman"/>
          <w:caps w:val="0"/>
          <w:color w:val="000000" w:themeColor="text1"/>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center"/>
        <w:rPr>
          <w:rFonts w:ascii="Times New Roman" w:hAnsi="Times New Roman" w:eastAsia="仿宋_GB2312"/>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（图1：</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14:textFill>
            <w14:solidFill>
              <w14:schemeClr w14:val="tx1"/>
            </w14:solidFill>
          </w14:textFill>
        </w:rPr>
        <w:t>决算总计变动情况图）</w:t>
      </w:r>
    </w:p>
    <w:p>
      <w:pPr>
        <w:pStyle w:val="21"/>
        <w:numPr>
          <w:ilvl w:val="0"/>
          <w:numId w:val="1"/>
        </w:numPr>
        <w:spacing w:line="600" w:lineRule="exact"/>
        <w:ind w:firstLineChars="0"/>
        <w:outlineLvl w:val="1"/>
        <w:rPr>
          <w:rStyle w:val="20"/>
          <w:rFonts w:ascii="Times New Roman" w:hAnsi="Times New Roman" w:eastAsia="黑体"/>
          <w:b w:val="0"/>
          <w:caps w:val="0"/>
          <w:color w:val="000000" w:themeColor="text1"/>
          <w14:textFill>
            <w14:solidFill>
              <w14:schemeClr w14:val="tx1"/>
            </w14:solidFill>
          </w14:textFill>
        </w:rPr>
      </w:pPr>
      <w:bookmarkStart w:id="11" w:name="_Toc15377206"/>
      <w:bookmarkStart w:id="12" w:name="_Toc15396604"/>
      <w:bookmarkStart w:id="13" w:name="_Toc12413"/>
      <w:r>
        <w:rPr>
          <w:rFonts w:hint="eastAsia" w:ascii="Times New Roman" w:hAnsi="Times New Roman" w:eastAsia="黑体"/>
          <w:caps w:val="0"/>
          <w:color w:val="000000" w:themeColor="text1"/>
          <w:sz w:val="32"/>
          <w:szCs w:val="32"/>
          <w14:textFill>
            <w14:solidFill>
              <w14:schemeClr w14:val="tx1"/>
            </w14:solidFill>
          </w14:textFill>
        </w:rPr>
        <w:t>收</w:t>
      </w:r>
      <w:r>
        <w:rPr>
          <w:rStyle w:val="20"/>
          <w:rFonts w:hint="eastAsia" w:ascii="Times New Roman" w:hAnsi="Times New Roman" w:eastAsia="黑体"/>
          <w:b w:val="0"/>
          <w:caps w:val="0"/>
          <w:color w:val="000000" w:themeColor="text1"/>
          <w14:textFill>
            <w14:solidFill>
              <w14:schemeClr w14:val="tx1"/>
            </w14:solidFill>
          </w14:textFill>
        </w:rPr>
        <w:t>入决算情况说明</w:t>
      </w:r>
      <w:bookmarkEnd w:id="11"/>
      <w:bookmarkEnd w:id="12"/>
      <w:bookmarkEnd w:id="13"/>
    </w:p>
    <w:p>
      <w:pPr>
        <w:spacing w:line="600" w:lineRule="exact"/>
        <w:ind w:firstLine="640" w:firstLineChars="200"/>
        <w:outlineLvl w:val="9"/>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本年收入合计</w:t>
      </w:r>
      <w:r>
        <w:rPr>
          <w:rFonts w:hint="eastAsia" w:cs="仿宋_GB2312"/>
          <w:caps w:val="0"/>
          <w:color w:val="000000" w:themeColor="text1"/>
          <w:sz w:val="32"/>
          <w:szCs w:val="32"/>
          <w:highlight w:val="none"/>
          <w:lang w:val="en-US" w:eastAsia="zh-CN"/>
          <w14:textFill>
            <w14:solidFill>
              <w14:schemeClr w14:val="tx1"/>
            </w14:solidFill>
          </w14:textFill>
        </w:rPr>
        <w:t>3361.96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万元，其中：一般公共预算财政拨款收入</w:t>
      </w:r>
      <w:r>
        <w:rPr>
          <w:rFonts w:hint="eastAsia" w:cs="仿宋_GB2312"/>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99.44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%；事业收入</w:t>
      </w:r>
      <w:r>
        <w:rPr>
          <w:rFonts w:hint="eastAsia" w:cs="仿宋_GB2312"/>
          <w:caps w:val="0"/>
          <w:color w:val="000000" w:themeColor="text1"/>
          <w:sz w:val="32"/>
          <w:szCs w:val="32"/>
          <w:highlight w:val="none"/>
          <w:lang w:val="en-US" w:eastAsia="zh-CN"/>
          <w14:textFill>
            <w14:solidFill>
              <w14:schemeClr w14:val="tx1"/>
            </w14:solidFill>
          </w14:textFill>
        </w:rPr>
        <w:t>18.76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0.56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spacing w:line="600" w:lineRule="exact"/>
        <w:ind w:firstLine="640" w:firstLineChars="200"/>
        <w:outlineLvl w:val="1"/>
        <w:rPr>
          <w:rFonts w:ascii="Times New Roman" w:hAnsi="Times New Roman" w:eastAsia="仿宋"/>
          <w:caps w:val="0"/>
          <w:color w:val="000000" w:themeColor="text1"/>
          <w:sz w:val="32"/>
          <w:szCs w:val="32"/>
          <w14:textFill>
            <w14:solidFill>
              <w14:schemeClr w14:val="tx1"/>
            </w14:solidFill>
          </w14:textFill>
        </w:rPr>
      </w:pPr>
    </w:p>
    <w:p>
      <w:pPr>
        <w:pStyle w:val="9"/>
        <w:rPr>
          <w:rFonts w:ascii="Times New Roman" w:hAnsi="Times New Roman"/>
          <w:caps w:val="0"/>
          <w:color w:val="000000" w:themeColor="text1"/>
          <w14:textFill>
            <w14:solidFill>
              <w14:schemeClr w14:val="tx1"/>
            </w14:solidFill>
          </w14:textFill>
        </w:rPr>
      </w:pPr>
      <w:r>
        <w:rPr>
          <w:rFonts w:hint="eastAsia" w:ascii="Times New Roman" w:hAnsi="Times New Roman"/>
          <w:caps w:val="0"/>
          <w:color w:val="000000" w:themeColor="text1"/>
          <w:lang w:val="en-US" w:eastAsia="zh-CN"/>
          <w14:textFill>
            <w14:solidFill>
              <w14:schemeClr w14:val="tx1"/>
            </w14:solidFill>
          </w14:textFill>
        </w:rPr>
        <w:t xml:space="preserve">  </w:t>
      </w:r>
      <w:r>
        <w:drawing>
          <wp:inline distT="0" distB="0" distL="114300" distR="114300">
            <wp:extent cx="4572000" cy="2743200"/>
            <wp:effectExtent l="4445" t="4445" r="14605" b="14605"/>
            <wp:docPr id="112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pacing w:line="600" w:lineRule="exact"/>
        <w:jc w:val="center"/>
        <w:rPr>
          <w:rFonts w:ascii="Times New Roman" w:hAnsi="Times New Roman" w:eastAsia="仿宋_GB2312"/>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（图2：收入决算结构图）</w:t>
      </w:r>
    </w:p>
    <w:p>
      <w:pPr>
        <w:pStyle w:val="21"/>
        <w:numPr>
          <w:ilvl w:val="0"/>
          <w:numId w:val="1"/>
        </w:numPr>
        <w:spacing w:line="600" w:lineRule="exact"/>
        <w:ind w:firstLineChars="0"/>
        <w:outlineLvl w:val="1"/>
        <w:rPr>
          <w:rStyle w:val="20"/>
          <w:rFonts w:ascii="Times New Roman" w:hAnsi="Times New Roman" w:eastAsia="黑体"/>
          <w:b w:val="0"/>
          <w:caps w:val="0"/>
          <w:color w:val="000000" w:themeColor="text1"/>
          <w14:textFill>
            <w14:solidFill>
              <w14:schemeClr w14:val="tx1"/>
            </w14:solidFill>
          </w14:textFill>
        </w:rPr>
      </w:pPr>
      <w:bookmarkStart w:id="14" w:name="_Toc15377207"/>
      <w:bookmarkStart w:id="15" w:name="_Toc8342"/>
      <w:bookmarkStart w:id="16" w:name="_Toc15396605"/>
      <w:r>
        <w:rPr>
          <w:rFonts w:hint="eastAsia" w:ascii="Times New Roman" w:hAnsi="Times New Roman" w:eastAsia="黑体"/>
          <w:caps w:val="0"/>
          <w:color w:val="000000" w:themeColor="text1"/>
          <w:sz w:val="32"/>
          <w:szCs w:val="32"/>
          <w14:textFill>
            <w14:solidFill>
              <w14:schemeClr w14:val="tx1"/>
            </w14:solidFill>
          </w14:textFill>
        </w:rPr>
        <w:t>支</w:t>
      </w:r>
      <w:r>
        <w:rPr>
          <w:rStyle w:val="20"/>
          <w:rFonts w:hint="eastAsia" w:ascii="Times New Roman" w:hAnsi="Times New Roman" w:eastAsia="黑体"/>
          <w:b w:val="0"/>
          <w:caps w:val="0"/>
          <w:color w:val="000000" w:themeColor="text1"/>
          <w14:textFill>
            <w14:solidFill>
              <w14:schemeClr w14:val="tx1"/>
            </w14:solidFill>
          </w14:textFill>
        </w:rPr>
        <w:t>出决算情况说明</w:t>
      </w:r>
      <w:bookmarkEnd w:id="14"/>
      <w:bookmarkEnd w:id="15"/>
      <w:bookmarkEnd w:id="16"/>
    </w:p>
    <w:p>
      <w:pPr>
        <w:spacing w:line="600" w:lineRule="exact"/>
        <w:ind w:firstLine="640" w:firstLineChars="200"/>
        <w:outlineLvl w:val="9"/>
        <w:rPr>
          <w:rFonts w:hint="eastAsia" w:ascii="Times New Roman" w:hAnsi="Times New Roman" w:eastAsia="仿宋_GB2312" w:cs="仿宋_GB2312"/>
          <w:caps w:val="0"/>
          <w:color w:val="000000" w:themeColor="text1"/>
          <w:sz w:val="32"/>
          <w:szCs w:val="32"/>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本年支出合计</w:t>
      </w:r>
      <w:r>
        <w:rPr>
          <w:rFonts w:hint="eastAsia" w:cs="仿宋_GB2312"/>
          <w:caps w:val="0"/>
          <w:color w:val="000000" w:themeColor="text1"/>
          <w:sz w:val="32"/>
          <w:szCs w:val="32"/>
          <w:highlight w:val="none"/>
          <w:lang w:val="en-US" w:eastAsia="zh-CN"/>
          <w14:textFill>
            <w14:solidFill>
              <w14:schemeClr w14:val="tx1"/>
            </w14:solidFill>
          </w14:textFill>
        </w:rPr>
        <w:t>3361.96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万元，其中：基本支出</w:t>
      </w:r>
      <w:r>
        <w:rPr>
          <w:rFonts w:hint="eastAsia" w:cs="仿宋_GB2312"/>
          <w:caps w:val="0"/>
          <w:color w:val="000000" w:themeColor="text1"/>
          <w:sz w:val="32"/>
          <w:szCs w:val="32"/>
          <w:highlight w:val="none"/>
          <w:lang w:val="en-US" w:eastAsia="zh-CN"/>
          <w14:textFill>
            <w14:solidFill>
              <w14:schemeClr w14:val="tx1"/>
            </w14:solidFill>
          </w14:textFill>
        </w:rPr>
        <w:t>1860.23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55.33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%；项目支出</w:t>
      </w:r>
      <w:r>
        <w:rPr>
          <w:rFonts w:hint="eastAsia" w:cs="仿宋_GB2312"/>
          <w:caps w:val="0"/>
          <w:color w:val="000000" w:themeColor="text1"/>
          <w:sz w:val="32"/>
          <w:szCs w:val="32"/>
          <w:highlight w:val="none"/>
          <w:lang w:val="en-US" w:eastAsia="zh-CN"/>
          <w14:textFill>
            <w14:solidFill>
              <w14:schemeClr w14:val="tx1"/>
            </w14:solidFill>
          </w14:textFill>
        </w:rPr>
        <w:t>1501.73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44.67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r>
        <w:drawing>
          <wp:anchor distT="0" distB="0" distL="114300" distR="114300" simplePos="0" relativeHeight="251660288" behindDoc="0" locked="0" layoutInCell="1" allowOverlap="1">
            <wp:simplePos x="0" y="0"/>
            <wp:positionH relativeFrom="column">
              <wp:posOffset>496570</wp:posOffset>
            </wp:positionH>
            <wp:positionV relativeFrom="paragraph">
              <wp:posOffset>213995</wp:posOffset>
            </wp:positionV>
            <wp:extent cx="4572000" cy="2381885"/>
            <wp:effectExtent l="5080" t="4445" r="13970" b="13970"/>
            <wp:wrapNone/>
            <wp:docPr id="113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jc w:val="center"/>
        <w:rPr>
          <w:rFonts w:ascii="Times New Roman" w:hAnsi="Times New Roman" w:eastAsia="仿宋_GB2312"/>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（图3：支出决算结构图）</w:t>
      </w:r>
    </w:p>
    <w:p>
      <w:pPr>
        <w:spacing w:line="600" w:lineRule="exact"/>
        <w:ind w:firstLine="640" w:firstLineChars="200"/>
        <w:outlineLvl w:val="1"/>
        <w:rPr>
          <w:rStyle w:val="20"/>
          <w:rFonts w:ascii="Times New Roman" w:hAnsi="Times New Roman" w:eastAsia="黑体"/>
          <w:b w:val="0"/>
          <w:caps w:val="0"/>
          <w:color w:val="000000" w:themeColor="text1"/>
          <w14:textFill>
            <w14:solidFill>
              <w14:schemeClr w14:val="tx1"/>
            </w14:solidFill>
          </w14:textFill>
        </w:rPr>
      </w:pPr>
      <w:bookmarkStart w:id="17" w:name="_Toc15396606"/>
      <w:bookmarkStart w:id="18" w:name="_Toc15377208"/>
      <w:bookmarkStart w:id="19" w:name="_Toc23551"/>
      <w:r>
        <w:rPr>
          <w:rFonts w:hint="eastAsia" w:ascii="Times New Roman" w:hAnsi="Times New Roman" w:eastAsia="黑体"/>
          <w:caps w:val="0"/>
          <w:color w:val="000000" w:themeColor="text1"/>
          <w:sz w:val="32"/>
          <w:szCs w:val="32"/>
          <w14:textFill>
            <w14:solidFill>
              <w14:schemeClr w14:val="tx1"/>
            </w14:solidFill>
          </w14:textFill>
        </w:rPr>
        <w:t>四、财</w:t>
      </w:r>
      <w:r>
        <w:rPr>
          <w:rStyle w:val="20"/>
          <w:rFonts w:hint="eastAsia" w:ascii="Times New Roman" w:hAnsi="Times New Roman" w:eastAsia="黑体"/>
          <w:b w:val="0"/>
          <w:caps w:val="0"/>
          <w:color w:val="000000" w:themeColor="text1"/>
          <w14:textFill>
            <w14:solidFill>
              <w14:schemeClr w14:val="tx1"/>
            </w14:solidFill>
          </w14:textFill>
        </w:rPr>
        <w:t>政拨款收入支出决算总体情况说明</w:t>
      </w:r>
      <w:bookmarkEnd w:id="17"/>
      <w:bookmarkEnd w:id="18"/>
      <w:bookmarkEnd w:id="19"/>
    </w:p>
    <w:p>
      <w:pPr>
        <w:spacing w:line="600" w:lineRule="exact"/>
        <w:ind w:firstLine="640"/>
        <w:rPr>
          <w:rFonts w:ascii="Times New Roman" w:hAnsi="Times New Roman" w:eastAsia="仿宋"/>
          <w:caps w:val="0"/>
          <w:color w:val="000000" w:themeColor="text1"/>
          <w:sz w:val="32"/>
          <w:szCs w:val="32"/>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财政拨款</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总计</w:t>
      </w:r>
      <w:r>
        <w:rPr>
          <w:rFonts w:hint="eastAsia" w:cs="仿宋_GB2312"/>
          <w:caps w:val="0"/>
          <w:color w:val="000000" w:themeColor="text1"/>
          <w:sz w:val="32"/>
          <w:szCs w:val="32"/>
          <w:highlight w:val="none"/>
          <w:lang w:eastAsia="zh-CN"/>
          <w14:textFill>
            <w14:solidFill>
              <w14:schemeClr w14:val="tx1"/>
            </w14:solidFill>
          </w14:textFill>
        </w:rPr>
        <w:t>均为</w:t>
      </w:r>
      <w:r>
        <w:rPr>
          <w:rFonts w:hint="eastAsia" w:cs="仿宋_GB2312"/>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万元。与</w:t>
      </w:r>
      <w:r>
        <w:rPr>
          <w:rFonts w:hint="eastAsia" w:cs="仿宋_GB2312"/>
          <w:caps w:val="0"/>
          <w:color w:val="000000" w:themeColor="text1"/>
          <w:sz w:val="32"/>
          <w:szCs w:val="32"/>
          <w:highlight w:val="none"/>
          <w:lang w:eastAsia="zh-CN"/>
          <w14:textFill>
            <w14:solidFill>
              <w14:schemeClr w14:val="tx1"/>
            </w14:solidFill>
          </w14:textFill>
        </w:rPr>
        <w:t>上年度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相比，财政拨款</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总计各增加</w:t>
      </w:r>
      <w:r>
        <w:rPr>
          <w:rFonts w:hint="eastAsia" w:cs="仿宋_GB2312"/>
          <w:caps w:val="0"/>
          <w:color w:val="000000" w:themeColor="text1"/>
          <w:sz w:val="32"/>
          <w:szCs w:val="32"/>
          <w:highlight w:val="none"/>
          <w:lang w:val="en-US" w:eastAsia="zh-CN"/>
          <w14:textFill>
            <w14:solidFill>
              <w14:schemeClr w14:val="tx1"/>
            </w14:solidFill>
          </w14:textFill>
        </w:rPr>
        <w:t>1318.53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万元，增长</w:t>
      </w:r>
      <w:r>
        <w:rPr>
          <w:rFonts w:hint="eastAsia" w:cs="仿宋_GB2312"/>
          <w:caps w:val="0"/>
          <w:color w:val="000000" w:themeColor="text1"/>
          <w:sz w:val="32"/>
          <w:szCs w:val="32"/>
          <w:highlight w:val="none"/>
          <w:lang w:val="en-US" w:eastAsia="zh-CN"/>
          <w14:textFill>
            <w14:solidFill>
              <w14:schemeClr w14:val="tx1"/>
            </w14:solidFill>
          </w14:textFill>
        </w:rPr>
        <w:t>65.12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%。主要变动原因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一是追加了党校迁建项目工程款部分尾款，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二是新增下达了省级干部教育培训机构质量提升专项资金，三是2025年对外合作培训班次人次较上年增加，收</w:t>
      </w:r>
      <w:r>
        <w:rPr>
          <w:rFonts w:hint="eastAsia" w:cs="Times New Roman"/>
          <w:color w:val="000000" w:themeColor="text1"/>
          <w:sz w:val="32"/>
          <w:szCs w:val="32"/>
          <w:lang w:val="en-US" w:eastAsia="zh-CN"/>
          <w14:textFill>
            <w14:solidFill>
              <w14:schemeClr w14:val="tx1"/>
            </w14:solidFill>
          </w14:textFill>
        </w:rPr>
        <w:t>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也较上年有所增加</w:t>
      </w:r>
      <w:r>
        <w:rPr>
          <w:rFonts w:hint="eastAsia" w:ascii="Times New Roman" w:hAnsi="Times New Roman" w:eastAsia="仿宋" w:cs="仿宋"/>
          <w:caps w:val="0"/>
          <w:color w:val="000000" w:themeColor="text1"/>
          <w:kern w:val="0"/>
          <w:sz w:val="32"/>
          <w:szCs w:val="32"/>
          <w14:textFill>
            <w14:solidFill>
              <w14:schemeClr w14:val="tx1"/>
            </w14:solidFill>
          </w14:textFill>
        </w:rPr>
        <w:t>。</w:t>
      </w:r>
    </w:p>
    <w:p>
      <w:pPr>
        <w:pStyle w:val="9"/>
        <w:ind w:firstLine="6804" w:firstLineChars="2100"/>
        <w:rPr>
          <w:rFonts w:ascii="Times New Roman" w:hAnsi="Times New Roman" w:eastAsia="仿宋"/>
          <w:caps w:val="0"/>
          <w:color w:val="000000" w:themeColor="text1"/>
          <w:sz w:val="32"/>
          <w:szCs w:val="32"/>
          <w14:textFill>
            <w14:solidFill>
              <w14:schemeClr w14:val="tx1"/>
            </w14:solidFill>
          </w14:textFill>
        </w:rPr>
      </w:pPr>
      <w:r>
        <w:rPr>
          <w:rFonts w:hint="eastAsia" w:ascii="Times New Roman" w:hAnsi="Times New Roman" w:eastAsia="仿宋"/>
          <w:caps w:val="0"/>
          <w:color w:val="000000" w:themeColor="text1"/>
          <w:sz w:val="32"/>
          <w:szCs w:val="32"/>
          <w:lang w:val="en-US" w:eastAsia="zh-CN"/>
          <w14:textFill>
            <w14:solidFill>
              <w14:schemeClr w14:val="tx1"/>
            </w14:solidFill>
          </w14:textFill>
        </w:rPr>
        <w:t>单位：万元</w:t>
      </w:r>
    </w:p>
    <w:p>
      <w:pPr>
        <w:pStyle w:val="9"/>
        <w:jc w:val="both"/>
        <w:rPr>
          <w:rFonts w:ascii="Times New Roman" w:hAnsi="Times New Roman"/>
          <w:caps w:val="0"/>
          <w:color w:val="000000" w:themeColor="text1"/>
          <w14:textFill>
            <w14:solidFill>
              <w14:schemeClr w14:val="tx1"/>
            </w14:solidFill>
          </w14:textFill>
        </w:rPr>
      </w:pPr>
      <w:r>
        <w:rPr>
          <w:rFonts w:hint="eastAsia" w:ascii="Times New Roman" w:hAnsi="Times New Roman"/>
          <w:caps w:val="0"/>
          <w:color w:val="000000" w:themeColor="text1"/>
          <w:lang w:val="en-US" w:eastAsia="zh-CN"/>
          <w14:textFill>
            <w14:solidFill>
              <w14:schemeClr w14:val="tx1"/>
            </w14:solidFill>
          </w14:textFill>
        </w:rPr>
        <w:t xml:space="preserve"> </w:t>
      </w:r>
      <w:r>
        <w:drawing>
          <wp:inline distT="0" distB="0" distL="114300" distR="114300">
            <wp:extent cx="4572000" cy="2743200"/>
            <wp:effectExtent l="4445" t="4445" r="14605" b="14605"/>
            <wp:docPr id="113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9"/>
        <w:jc w:val="center"/>
        <w:rPr>
          <w:rFonts w:ascii="Times New Roman" w:hAnsi="Times New Roman" w:eastAsia="仿宋"/>
          <w:b/>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（图4：财政拨款收、支决算总计变动情况）</w:t>
      </w:r>
    </w:p>
    <w:p>
      <w:pPr>
        <w:spacing w:line="600" w:lineRule="exact"/>
        <w:ind w:firstLine="640" w:firstLineChars="200"/>
        <w:outlineLvl w:val="1"/>
        <w:rPr>
          <w:rStyle w:val="20"/>
          <w:rFonts w:ascii="Times New Roman" w:hAnsi="Times New Roman" w:eastAsia="黑体"/>
          <w:b w:val="0"/>
          <w:caps w:val="0"/>
          <w:color w:val="000000" w:themeColor="text1"/>
          <w14:textFill>
            <w14:solidFill>
              <w14:schemeClr w14:val="tx1"/>
            </w14:solidFill>
          </w14:textFill>
        </w:rPr>
      </w:pPr>
      <w:bookmarkStart w:id="20" w:name="_Toc7507"/>
      <w:bookmarkStart w:id="21" w:name="_Toc15377209"/>
      <w:bookmarkStart w:id="22" w:name="_Toc15396607"/>
      <w:r>
        <w:rPr>
          <w:rFonts w:hint="eastAsia" w:ascii="Times New Roman" w:hAnsi="Times New Roman" w:eastAsia="黑体"/>
          <w:caps w:val="0"/>
          <w:color w:val="000000" w:themeColor="text1"/>
          <w:sz w:val="32"/>
          <w:szCs w:val="32"/>
          <w14:textFill>
            <w14:solidFill>
              <w14:schemeClr w14:val="tx1"/>
            </w14:solidFill>
          </w14:textFill>
        </w:rPr>
        <w:t>五、</w:t>
      </w:r>
      <w:r>
        <w:rPr>
          <w:rFonts w:hint="eastAsia" w:ascii="Times New Roman" w:hAnsi="Times New Roman" w:eastAsia="黑体"/>
          <w:b/>
          <w:caps w:val="0"/>
          <w:color w:val="000000" w:themeColor="text1"/>
          <w:sz w:val="32"/>
          <w:szCs w:val="32"/>
          <w14:textFill>
            <w14:solidFill>
              <w14:schemeClr w14:val="tx1"/>
            </w14:solidFill>
          </w14:textFill>
        </w:rPr>
        <w:t>一</w:t>
      </w:r>
      <w:r>
        <w:rPr>
          <w:rStyle w:val="20"/>
          <w:rFonts w:hint="eastAsia" w:ascii="Times New Roman" w:hAnsi="Times New Roman" w:eastAsia="黑体"/>
          <w:b w:val="0"/>
          <w:caps w:val="0"/>
          <w:color w:val="000000" w:themeColor="text1"/>
          <w14:textFill>
            <w14:solidFill>
              <w14:schemeClr w14:val="tx1"/>
            </w14:solidFill>
          </w14:textFill>
        </w:rPr>
        <w:t>般公共预算财政拨款支出决算情况说明</w:t>
      </w:r>
      <w:bookmarkEnd w:id="20"/>
      <w:bookmarkEnd w:id="21"/>
      <w:bookmarkEnd w:id="22"/>
    </w:p>
    <w:p>
      <w:pPr>
        <w:spacing w:line="600" w:lineRule="exact"/>
        <w:ind w:firstLine="643" w:firstLineChars="200"/>
        <w:outlineLvl w:val="2"/>
        <w:rPr>
          <w:rFonts w:ascii="Times New Roman" w:hAnsi="Times New Roman" w:eastAsia="仿宋"/>
          <w:b/>
          <w:caps w:val="0"/>
          <w:color w:val="000000" w:themeColor="text1"/>
          <w:sz w:val="32"/>
          <w:szCs w:val="32"/>
          <w14:textFill>
            <w14:solidFill>
              <w14:schemeClr w14:val="tx1"/>
            </w14:solidFill>
          </w14:textFill>
        </w:rPr>
      </w:pPr>
      <w:bookmarkStart w:id="23" w:name="_Toc15377210"/>
      <w:r>
        <w:rPr>
          <w:rFonts w:hint="eastAsia" w:ascii="Times New Roman" w:hAnsi="Times New Roman" w:eastAsia="仿宋"/>
          <w:b/>
          <w:caps w:val="0"/>
          <w:color w:val="000000" w:themeColor="text1"/>
          <w:sz w:val="32"/>
          <w:szCs w:val="32"/>
          <w14:textFill>
            <w14:solidFill>
              <w14:schemeClr w14:val="tx1"/>
            </w14:solidFill>
          </w14:textFill>
        </w:rPr>
        <w:t>（一）一般公共预算财政拨款支出决算总体情况</w:t>
      </w:r>
      <w:bookmarkEnd w:id="23"/>
    </w:p>
    <w:p>
      <w:pPr>
        <w:spacing w:line="600" w:lineRule="exact"/>
        <w:ind w:firstLine="640" w:firstLineChars="20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一般公共预算财政拨款支出</w:t>
      </w:r>
      <w:r>
        <w:rPr>
          <w:rFonts w:hint="eastAsia" w:cs="仿宋_GB2312"/>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万元，占本年支出合计的</w:t>
      </w:r>
      <w:r>
        <w:rPr>
          <w:rFonts w:hint="eastAsia" w:cs="仿宋_GB2312"/>
          <w:caps w:val="0"/>
          <w:color w:val="000000" w:themeColor="text1"/>
          <w:sz w:val="32"/>
          <w:szCs w:val="32"/>
          <w:highlight w:val="none"/>
          <w:lang w:val="en-US" w:eastAsia="zh-CN"/>
          <w14:textFill>
            <w14:solidFill>
              <w14:schemeClr w14:val="tx1"/>
            </w14:solidFill>
          </w14:textFill>
        </w:rPr>
        <w:t>99.44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%。与</w:t>
      </w:r>
      <w:r>
        <w:rPr>
          <w:rFonts w:hint="eastAsia" w:cs="仿宋_GB2312"/>
          <w:caps w:val="0"/>
          <w:color w:val="000000" w:themeColor="text1"/>
          <w:sz w:val="32"/>
          <w:szCs w:val="32"/>
          <w:highlight w:val="none"/>
          <w:lang w:eastAsia="zh-CN"/>
          <w14:textFill>
            <w14:solidFill>
              <w14:schemeClr w14:val="tx1"/>
            </w14:solidFill>
          </w14:textFill>
        </w:rPr>
        <w:t>上年度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相比，一般公共预算财政拨款</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增加</w:t>
      </w:r>
      <w:r>
        <w:rPr>
          <w:rFonts w:hint="eastAsia" w:cs="仿宋_GB2312"/>
          <w:caps w:val="0"/>
          <w:color w:val="000000" w:themeColor="text1"/>
          <w:sz w:val="32"/>
          <w:szCs w:val="32"/>
          <w:highlight w:val="none"/>
          <w:lang w:val="en-US" w:eastAsia="zh-CN"/>
          <w14:textFill>
            <w14:solidFill>
              <w14:schemeClr w14:val="tx1"/>
            </w14:solidFill>
          </w14:textFill>
        </w:rPr>
        <w:t>1318.53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万元，增长</w:t>
      </w:r>
      <w:r>
        <w:rPr>
          <w:rFonts w:hint="eastAsia" w:cs="仿宋_GB2312"/>
          <w:caps w:val="0"/>
          <w:color w:val="000000" w:themeColor="text1"/>
          <w:sz w:val="32"/>
          <w:szCs w:val="32"/>
          <w:highlight w:val="none"/>
          <w:lang w:val="en-US" w:eastAsia="zh-CN"/>
          <w14:textFill>
            <w14:solidFill>
              <w14:schemeClr w14:val="tx1"/>
            </w14:solidFill>
          </w14:textFill>
        </w:rPr>
        <w:t>65.12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%。主要变动原因</w:t>
      </w:r>
      <w:r>
        <w:rPr>
          <w:rFonts w:hint="eastAsia" w:ascii="Times New Roman" w:hAnsi="Times New Roman" w:eastAsia="仿宋" w:cs="仿宋"/>
          <w:caps w:val="0"/>
          <w:color w:val="000000" w:themeColor="text1"/>
          <w:sz w:val="32"/>
          <w:szCs w:val="32"/>
          <w:lang w:eastAsia="zh-CN"/>
          <w14:textFill>
            <w14:solidFill>
              <w14:schemeClr w14:val="tx1"/>
            </w14:solidFill>
          </w14:textFill>
        </w:rPr>
        <w:t>一是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追加了党校迁建项目工程款部分尾款，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二是新增下达了省级干部教育培训机构质量提升专项资金，三是2025年对外合作培训班次人次较上年增加，收</w:t>
      </w:r>
      <w:r>
        <w:rPr>
          <w:rFonts w:hint="eastAsia" w:cs="Times New Roman"/>
          <w:color w:val="000000" w:themeColor="text1"/>
          <w:sz w:val="32"/>
          <w:szCs w:val="32"/>
          <w:lang w:val="en-US" w:eastAsia="zh-CN"/>
          <w14:textFill>
            <w14:solidFill>
              <w14:schemeClr w14:val="tx1"/>
            </w14:solidFill>
          </w14:textFill>
        </w:rPr>
        <w:t>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也较上年有所增加</w:t>
      </w:r>
      <w:r>
        <w:rPr>
          <w:rFonts w:hint="eastAsia" w:ascii="Times New Roman" w:hAnsi="Times New Roman" w:eastAsia="仿宋" w:cs="仿宋"/>
          <w:caps w:val="0"/>
          <w:color w:val="000000" w:themeColor="text1"/>
          <w:kern w:val="0"/>
          <w:sz w:val="32"/>
          <w:szCs w:val="32"/>
          <w14:textFill>
            <w14:solidFill>
              <w14:schemeClr w14:val="tx1"/>
            </w14:solidFill>
          </w14:textFill>
        </w:rPr>
        <w:t>。</w:t>
      </w:r>
    </w:p>
    <w:p>
      <w:pPr>
        <w:spacing w:line="600" w:lineRule="exact"/>
        <w:ind w:firstLine="6400" w:firstLineChars="2000"/>
        <w:rPr>
          <w:rFonts w:hint="eastAsia" w:ascii="Times New Roman" w:hAnsi="Times New Roman" w:eastAsia="仿宋"/>
          <w:b w:val="0"/>
          <w:bCs/>
          <w:caps w:val="0"/>
          <w:color w:val="000000" w:themeColor="text1"/>
          <w:sz w:val="32"/>
          <w:szCs w:val="32"/>
          <w:lang w:eastAsia="zh-CN"/>
          <w14:textFill>
            <w14:solidFill>
              <w14:schemeClr w14:val="tx1"/>
            </w14:solidFill>
          </w14:textFill>
        </w:rPr>
      </w:pPr>
      <w:r>
        <w:drawing>
          <wp:anchor distT="0" distB="0" distL="114300" distR="114300" simplePos="0" relativeHeight="251661312" behindDoc="0" locked="0" layoutInCell="1" allowOverlap="1">
            <wp:simplePos x="0" y="0"/>
            <wp:positionH relativeFrom="column">
              <wp:posOffset>334645</wp:posOffset>
            </wp:positionH>
            <wp:positionV relativeFrom="paragraph">
              <wp:posOffset>80645</wp:posOffset>
            </wp:positionV>
            <wp:extent cx="4572000" cy="2743200"/>
            <wp:effectExtent l="4445" t="4445" r="14605" b="14605"/>
            <wp:wrapNone/>
            <wp:docPr id="113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6400" w:firstLineChars="2000"/>
        <w:rPr>
          <w:rFonts w:hint="eastAsia" w:ascii="Times New Roman" w:hAnsi="Times New Roman" w:eastAsia="仿宋"/>
          <w:b w:val="0"/>
          <w:bCs/>
          <w:caps w:val="0"/>
          <w:color w:val="000000" w:themeColor="text1"/>
          <w:sz w:val="32"/>
          <w:szCs w:val="32"/>
          <w:lang w:eastAsia="zh-CN"/>
          <w14:textFill>
            <w14:solidFill>
              <w14:schemeClr w14:val="tx1"/>
            </w14:solidFill>
          </w14:textFill>
        </w:rPr>
      </w:pPr>
    </w:p>
    <w:p>
      <w:pPr>
        <w:spacing w:line="600" w:lineRule="exact"/>
        <w:ind w:firstLine="6400" w:firstLineChars="2000"/>
        <w:rPr>
          <w:rFonts w:hint="eastAsia" w:ascii="Times New Roman" w:hAnsi="Times New Roman" w:eastAsia="仿宋"/>
          <w:b w:val="0"/>
          <w:bCs/>
          <w:caps w:val="0"/>
          <w:color w:val="000000" w:themeColor="text1"/>
          <w:sz w:val="32"/>
          <w:szCs w:val="32"/>
          <w:lang w:eastAsia="zh-CN"/>
          <w14:textFill>
            <w14:solidFill>
              <w14:schemeClr w14:val="tx1"/>
            </w14:solidFill>
          </w14:textFill>
        </w:rPr>
      </w:pPr>
    </w:p>
    <w:p>
      <w:pPr>
        <w:spacing w:line="600" w:lineRule="exact"/>
        <w:ind w:firstLine="6400" w:firstLineChars="2000"/>
        <w:rPr>
          <w:rFonts w:hint="eastAsia" w:ascii="Times New Roman" w:hAnsi="Times New Roman" w:eastAsia="仿宋"/>
          <w:b w:val="0"/>
          <w:bCs/>
          <w:caps w:val="0"/>
          <w:color w:val="000000" w:themeColor="text1"/>
          <w:sz w:val="32"/>
          <w:szCs w:val="32"/>
          <w:lang w:eastAsia="zh-CN"/>
          <w14:textFill>
            <w14:solidFill>
              <w14:schemeClr w14:val="tx1"/>
            </w14:solidFill>
          </w14:textFill>
        </w:rPr>
      </w:pPr>
      <w:r>
        <w:rPr>
          <w:rFonts w:hint="eastAsia" w:ascii="Times New Roman" w:hAnsi="Times New Roman" w:eastAsia="仿宋"/>
          <w:b w:val="0"/>
          <w:bCs/>
          <w:caps w:val="0"/>
          <w:color w:val="000000" w:themeColor="text1"/>
          <w:sz w:val="32"/>
          <w:szCs w:val="32"/>
          <w:lang w:eastAsia="zh-CN"/>
          <w14:textFill>
            <w14:solidFill>
              <w14:schemeClr w14:val="tx1"/>
            </w14:solidFill>
          </w14:textFill>
        </w:rPr>
        <w:t>单位：万元</w:t>
      </w:r>
    </w:p>
    <w:p>
      <w:pPr>
        <w:pStyle w:val="9"/>
        <w:jc w:val="both"/>
        <w:rPr>
          <w:rFonts w:hint="eastAsia" w:ascii="Times New Roman" w:hAnsi="Times New Roman" w:eastAsia="仿宋"/>
          <w:b/>
          <w:caps w:val="0"/>
          <w:color w:val="000000" w:themeColor="text1"/>
          <w:sz w:val="32"/>
          <w:szCs w:val="32"/>
          <w14:textFill>
            <w14:solidFill>
              <w14:schemeClr w14:val="tx1"/>
            </w14:solidFill>
          </w14:textFill>
        </w:rPr>
      </w:pPr>
      <w:r>
        <w:rPr>
          <w:rFonts w:hint="eastAsia" w:ascii="Times New Roman" w:hAnsi="Times New Roman"/>
          <w:caps w:val="0"/>
          <w:color w:val="000000" w:themeColor="text1"/>
          <w:lang w:val="en-US" w:eastAsia="zh-CN"/>
          <w14:textFill>
            <w14:solidFill>
              <w14:schemeClr w14:val="tx1"/>
            </w14:solidFill>
          </w14:textFill>
        </w:rPr>
        <w:t xml:space="preserve"> </w:t>
      </w:r>
    </w:p>
    <w:p>
      <w:pPr>
        <w:spacing w:line="600" w:lineRule="exact"/>
        <w:jc w:val="center"/>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center"/>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both"/>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center"/>
        <w:rPr>
          <w:rFonts w:ascii="Times New Roman" w:hAnsi="Times New Roman" w:eastAsia="仿宋"/>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（图5：一般公共预算财政拨款支出决算变动情况）</w:t>
      </w:r>
    </w:p>
    <w:p>
      <w:pPr>
        <w:spacing w:line="600" w:lineRule="exact"/>
        <w:ind w:firstLine="643" w:firstLineChars="200"/>
        <w:outlineLvl w:val="2"/>
        <w:rPr>
          <w:rFonts w:ascii="Times New Roman" w:hAnsi="Times New Roman" w:eastAsia="仿宋"/>
          <w:b/>
          <w:caps w:val="0"/>
          <w:color w:val="000000" w:themeColor="text1"/>
          <w:sz w:val="32"/>
          <w:szCs w:val="32"/>
          <w14:textFill>
            <w14:solidFill>
              <w14:schemeClr w14:val="tx1"/>
            </w14:solidFill>
          </w14:textFill>
        </w:rPr>
      </w:pPr>
      <w:bookmarkStart w:id="24" w:name="_Toc15377211"/>
      <w:r>
        <w:rPr>
          <w:rFonts w:hint="eastAsia" w:ascii="Times New Roman" w:hAnsi="Times New Roman" w:eastAsia="仿宋"/>
          <w:b/>
          <w:caps w:val="0"/>
          <w:color w:val="000000" w:themeColor="text1"/>
          <w:sz w:val="32"/>
          <w:szCs w:val="32"/>
          <w14:textFill>
            <w14:solidFill>
              <w14:schemeClr w14:val="tx1"/>
            </w14:solidFill>
          </w14:textFill>
        </w:rPr>
        <w:t>（二）一般公共预算财政拨款支出决算结构情况</w:t>
      </w:r>
      <w:bookmarkEnd w:id="24"/>
    </w:p>
    <w:p>
      <w:pPr>
        <w:spacing w:line="600" w:lineRule="exact"/>
        <w:ind w:firstLine="640"/>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pP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202</w:t>
      </w:r>
      <w:r>
        <w:rPr>
          <w:rFonts w:hint="eastAsia" w:cs="仿宋_GB2312"/>
          <w:b w:val="0"/>
          <w:bCs w:val="0"/>
          <w:caps w:val="0"/>
          <w:color w:val="000000" w:themeColor="text1"/>
          <w:sz w:val="32"/>
          <w:szCs w:val="32"/>
          <w:highlight w:val="none"/>
          <w:lang w:val="en-US" w:eastAsia="zh-CN"/>
          <w14:textFill>
            <w14:solidFill>
              <w14:schemeClr w14:val="tx1"/>
            </w14:solidFill>
          </w14:textFill>
        </w:rPr>
        <w:t>5</w:t>
      </w:r>
      <w:r>
        <w:rPr>
          <w:rFonts w:hint="eastAsia" w:cs="仿宋_GB2312"/>
          <w:b w:val="0"/>
          <w:bCs w:val="0"/>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一般公共预算财政拨款支出</w:t>
      </w:r>
      <w:r>
        <w:rPr>
          <w:rFonts w:hint="eastAsia" w:cs="仿宋_GB2312"/>
          <w:b w:val="0"/>
          <w:bCs w:val="0"/>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万元，主要用于以下方面:</w:t>
      </w:r>
      <w:r>
        <w:rPr>
          <w:rFonts w:hint="eastAsia" w:cs="仿宋_GB2312"/>
          <w:b w:val="0"/>
          <w:bCs w:val="0"/>
          <w:caps w:val="0"/>
          <w:color w:val="000000" w:themeColor="text1"/>
          <w:sz w:val="32"/>
          <w:szCs w:val="32"/>
          <w:highlight w:val="none"/>
          <w:lang w:eastAsia="zh-CN"/>
          <w14:textFill>
            <w14:solidFill>
              <w14:schemeClr w14:val="tx1"/>
            </w14:solidFill>
          </w14:textFill>
        </w:rPr>
        <w:t>一般公共服务支出</w:t>
      </w:r>
      <w:r>
        <w:rPr>
          <w:rFonts w:hint="eastAsia" w:cs="仿宋_GB2312"/>
          <w:b w:val="0"/>
          <w:bCs w:val="0"/>
          <w:caps w:val="0"/>
          <w:color w:val="000000" w:themeColor="text1"/>
          <w:sz w:val="32"/>
          <w:szCs w:val="32"/>
          <w:highlight w:val="none"/>
          <w:lang w:val="en-US" w:eastAsia="zh-CN"/>
          <w14:textFill>
            <w14:solidFill>
              <w14:schemeClr w14:val="tx1"/>
            </w14:solidFill>
          </w14:textFill>
        </w:rPr>
        <w:t>239.94万元，占7.18%；</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教育支出</w:t>
      </w:r>
      <w:r>
        <w:rPr>
          <w:rFonts w:hint="eastAsia" w:cs="仿宋_GB2312"/>
          <w:b w:val="0"/>
          <w:bCs w:val="0"/>
          <w:caps w:val="0"/>
          <w:color w:val="000000" w:themeColor="text1"/>
          <w:sz w:val="32"/>
          <w:szCs w:val="32"/>
          <w:highlight w:val="none"/>
          <w:lang w:val="en-US" w:eastAsia="zh-CN"/>
          <w14:textFill>
            <w14:solidFill>
              <w14:schemeClr w14:val="tx1"/>
            </w14:solidFill>
          </w14:textFill>
        </w:rPr>
        <w:t>2407.73</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万元，占</w:t>
      </w:r>
      <w:r>
        <w:rPr>
          <w:rFonts w:hint="eastAsia" w:cs="仿宋_GB2312"/>
          <w:b w:val="0"/>
          <w:bCs w:val="0"/>
          <w:caps w:val="0"/>
          <w:color w:val="000000" w:themeColor="text1"/>
          <w:sz w:val="32"/>
          <w:szCs w:val="32"/>
          <w:highlight w:val="none"/>
          <w:lang w:val="en-US" w:eastAsia="zh-CN"/>
          <w14:textFill>
            <w14:solidFill>
              <w14:schemeClr w14:val="tx1"/>
            </w14:solidFill>
          </w14:textFill>
        </w:rPr>
        <w:t>72.0</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2</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%；社会保障和就业支出</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4</w:t>
      </w:r>
      <w:r>
        <w:rPr>
          <w:rFonts w:hint="eastAsia" w:cs="仿宋_GB2312"/>
          <w:b w:val="0"/>
          <w:bCs w:val="0"/>
          <w:caps w:val="0"/>
          <w:color w:val="000000" w:themeColor="text1"/>
          <w:sz w:val="32"/>
          <w:szCs w:val="32"/>
          <w:highlight w:val="none"/>
          <w:lang w:val="en-US" w:eastAsia="zh-CN"/>
          <w14:textFill>
            <w14:solidFill>
              <w14:schemeClr w14:val="tx1"/>
            </w14:solidFill>
          </w14:textFill>
        </w:rPr>
        <w:t>98.64</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万元，占</w:t>
      </w:r>
      <w:r>
        <w:rPr>
          <w:rFonts w:hint="eastAsia" w:cs="仿宋_GB2312"/>
          <w:b w:val="0"/>
          <w:bCs w:val="0"/>
          <w:caps w:val="0"/>
          <w:color w:val="000000" w:themeColor="text1"/>
          <w:sz w:val="32"/>
          <w:szCs w:val="32"/>
          <w:highlight w:val="none"/>
          <w:lang w:val="en-US" w:eastAsia="zh-CN"/>
          <w14:textFill>
            <w14:solidFill>
              <w14:schemeClr w14:val="tx1"/>
            </w14:solidFill>
          </w14:textFill>
        </w:rPr>
        <w:t>14.92</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%；卫生健康支出</w:t>
      </w:r>
      <w:r>
        <w:rPr>
          <w:rFonts w:hint="eastAsia" w:cs="仿宋_GB2312"/>
          <w:b w:val="0"/>
          <w:bCs w:val="0"/>
          <w:caps w:val="0"/>
          <w:color w:val="000000" w:themeColor="text1"/>
          <w:sz w:val="32"/>
          <w:szCs w:val="32"/>
          <w:highlight w:val="none"/>
          <w:lang w:val="en-US" w:eastAsia="zh-CN"/>
          <w14:textFill>
            <w14:solidFill>
              <w14:schemeClr w14:val="tx1"/>
            </w14:solidFill>
          </w14:textFill>
        </w:rPr>
        <w:t>95.76</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万元，占</w:t>
      </w:r>
      <w:r>
        <w:rPr>
          <w:rFonts w:hint="eastAsia" w:cs="仿宋_GB2312"/>
          <w:b w:val="0"/>
          <w:bCs w:val="0"/>
          <w:caps w:val="0"/>
          <w:color w:val="000000" w:themeColor="text1"/>
          <w:sz w:val="32"/>
          <w:szCs w:val="32"/>
          <w:highlight w:val="none"/>
          <w:lang w:val="en-US" w:eastAsia="zh-CN"/>
          <w14:textFill>
            <w14:solidFill>
              <w14:schemeClr w14:val="tx1"/>
            </w14:solidFill>
          </w14:textFill>
        </w:rPr>
        <w:t>2.86</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%；住房保障支出</w:t>
      </w:r>
      <w:r>
        <w:rPr>
          <w:rFonts w:hint="eastAsia" w:cs="仿宋_GB2312"/>
          <w:b w:val="0"/>
          <w:bCs w:val="0"/>
          <w:caps w:val="0"/>
          <w:color w:val="000000" w:themeColor="text1"/>
          <w:sz w:val="32"/>
          <w:szCs w:val="32"/>
          <w:highlight w:val="none"/>
          <w:lang w:val="en-US" w:eastAsia="zh-CN"/>
          <w14:textFill>
            <w14:solidFill>
              <w14:schemeClr w14:val="tx1"/>
            </w14:solidFill>
          </w14:textFill>
        </w:rPr>
        <w:t>101.13</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万元，占</w:t>
      </w:r>
      <w:r>
        <w:rPr>
          <w:rFonts w:hint="eastAsia" w:cs="仿宋_GB2312"/>
          <w:b w:val="0"/>
          <w:bCs w:val="0"/>
          <w:caps w:val="0"/>
          <w:color w:val="000000" w:themeColor="text1"/>
          <w:sz w:val="32"/>
          <w:szCs w:val="32"/>
          <w:highlight w:val="none"/>
          <w:lang w:val="en-US" w:eastAsia="zh-CN"/>
          <w14:textFill>
            <w14:solidFill>
              <w14:schemeClr w14:val="tx1"/>
            </w14:solidFill>
          </w14:textFill>
        </w:rPr>
        <w:t>3.02</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w:t>
      </w:r>
    </w:p>
    <w:p>
      <w:pPr>
        <w:spacing w:line="600" w:lineRule="exact"/>
        <w:ind w:firstLine="640"/>
        <w:rPr>
          <w:rFonts w:ascii="Times New Roman" w:hAnsi="Times New Roman" w:eastAsia="仿宋"/>
          <w:caps w:val="0"/>
          <w:color w:val="000000" w:themeColor="text1"/>
          <w:sz w:val="32"/>
          <w:szCs w:val="32"/>
          <w14:textFill>
            <w14:solidFill>
              <w14:schemeClr w14:val="tx1"/>
            </w14:solidFill>
          </w14:textFill>
        </w:rPr>
      </w:pPr>
    </w:p>
    <w:p>
      <w:pPr>
        <w:pStyle w:val="9"/>
        <w:rPr>
          <w:rFonts w:ascii="Times New Roman" w:hAnsi="Times New Roman" w:eastAsia="仿宋"/>
          <w:caps w:val="0"/>
          <w:color w:val="000000" w:themeColor="text1"/>
          <w:sz w:val="32"/>
          <w:szCs w:val="32"/>
          <w14:textFill>
            <w14:solidFill>
              <w14:schemeClr w14:val="tx1"/>
            </w14:solidFill>
          </w14:textFill>
        </w:rPr>
      </w:pPr>
      <w:r>
        <w:drawing>
          <wp:inline distT="0" distB="0" distL="114300" distR="114300">
            <wp:extent cx="4572635" cy="2752725"/>
            <wp:effectExtent l="4445" t="4445" r="13970" b="5080"/>
            <wp:docPr id="113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jc w:val="center"/>
        <w:rPr>
          <w:rFonts w:ascii="Times New Roman" w:hAnsi="Times New Roman" w:eastAsia="仿宋"/>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（图6：一般公共预算财政拨款支出决算结构）</w:t>
      </w:r>
    </w:p>
    <w:p>
      <w:pPr>
        <w:spacing w:line="600" w:lineRule="exact"/>
        <w:ind w:firstLine="643" w:firstLineChars="200"/>
        <w:outlineLvl w:val="2"/>
        <w:rPr>
          <w:rFonts w:ascii="Times New Roman" w:hAnsi="Times New Roman" w:eastAsia="仿宋"/>
          <w:b/>
          <w:caps w:val="0"/>
          <w:color w:val="000000" w:themeColor="text1"/>
          <w:sz w:val="32"/>
          <w:szCs w:val="32"/>
          <w14:textFill>
            <w14:solidFill>
              <w14:schemeClr w14:val="tx1"/>
            </w14:solidFill>
          </w14:textFill>
        </w:rPr>
      </w:pPr>
      <w:bookmarkStart w:id="25" w:name="_Toc15377212"/>
      <w:r>
        <w:rPr>
          <w:rFonts w:hint="eastAsia" w:ascii="Times New Roman" w:hAnsi="Times New Roman" w:eastAsia="仿宋"/>
          <w:b/>
          <w:caps w:val="0"/>
          <w:color w:val="000000" w:themeColor="text1"/>
          <w:sz w:val="32"/>
          <w:szCs w:val="32"/>
          <w14:textFill>
            <w14:solidFill>
              <w14:schemeClr w14:val="tx1"/>
            </w14:solidFill>
          </w14:textFill>
        </w:rPr>
        <w:t>（三）一般公共预算财政拨款支出决算具体情况</w:t>
      </w:r>
      <w:bookmarkEnd w:id="25"/>
    </w:p>
    <w:p>
      <w:pPr>
        <w:spacing w:line="600" w:lineRule="exact"/>
        <w:ind w:firstLine="640" w:firstLineChars="200"/>
        <w:outlineLvl w:val="2"/>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pPr>
      <w:bookmarkStart w:id="26" w:name="_Toc15377444"/>
      <w:bookmarkStart w:id="27" w:name="_Toc15377213"/>
      <w:bookmarkStart w:id="28" w:name="_Toc15378460"/>
      <w:r>
        <w:rPr>
          <w:rFonts w:hint="eastAsia" w:ascii="Times New Roman" w:hAnsi="Times New Roman" w:cs="仿宋_GB2312"/>
          <w:b w:val="0"/>
          <w:bCs/>
          <w:caps w:val="0"/>
          <w:color w:val="000000" w:themeColor="text1"/>
          <w:sz w:val="32"/>
          <w:szCs w:val="32"/>
          <w:highlight w:val="none"/>
          <w:lang w:eastAsia="zh-CN"/>
          <w14:textFill>
            <w14:solidFill>
              <w14:schemeClr w14:val="tx1"/>
            </w14:solidFill>
          </w14:textFill>
        </w:rPr>
        <w:t>202</w:t>
      </w:r>
      <w:r>
        <w:rPr>
          <w:rFonts w:hint="eastAsia" w:cs="仿宋_GB2312"/>
          <w:b w:val="0"/>
          <w:bCs/>
          <w:caps w:val="0"/>
          <w:color w:val="000000" w:themeColor="text1"/>
          <w:sz w:val="32"/>
          <w:szCs w:val="32"/>
          <w:highlight w:val="none"/>
          <w:lang w:val="en-US" w:eastAsia="zh-CN"/>
          <w14:textFill>
            <w14:solidFill>
              <w14:schemeClr w14:val="tx1"/>
            </w14:solidFill>
          </w14:textFill>
        </w:rPr>
        <w:t>5</w:t>
      </w:r>
      <w:r>
        <w:rPr>
          <w:rFonts w:hint="eastAsia" w:cs="仿宋_GB2312"/>
          <w:b w:val="0"/>
          <w:bCs/>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b w:val="0"/>
          <w:bCs/>
          <w:caps w:val="0"/>
          <w:color w:val="000000" w:themeColor="text1"/>
          <w:sz w:val="32"/>
          <w:szCs w:val="32"/>
          <w:highlight w:val="none"/>
          <w:lang w:eastAsia="zh-CN"/>
          <w14:textFill>
            <w14:solidFill>
              <w14:schemeClr w14:val="tx1"/>
            </w14:solidFill>
          </w14:textFill>
        </w:rPr>
        <w:t>一</w:t>
      </w: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般公共预算</w:t>
      </w:r>
      <w:r>
        <w:rPr>
          <w:rFonts w:hint="eastAsia" w:cs="仿宋_GB2312"/>
          <w:b w:val="0"/>
          <w:bCs/>
          <w:caps w:val="0"/>
          <w:color w:val="000000" w:themeColor="text1"/>
          <w:sz w:val="32"/>
          <w:szCs w:val="32"/>
          <w:highlight w:val="none"/>
          <w:lang w:eastAsia="zh-CN"/>
          <w14:textFill>
            <w14:solidFill>
              <w14:schemeClr w14:val="tx1"/>
            </w14:solidFill>
          </w14:textFill>
        </w:rPr>
        <w:t>财政拨款</w:t>
      </w: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支出决算数为</w:t>
      </w:r>
      <w:r>
        <w:rPr>
          <w:rFonts w:hint="eastAsia" w:cs="仿宋_GB2312"/>
          <w:b w:val="0"/>
          <w:bCs/>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cs="仿宋_GB2312"/>
          <w:b w:val="0"/>
          <w:bCs/>
          <w:caps w:val="0"/>
          <w:color w:val="000000" w:themeColor="text1"/>
          <w:sz w:val="32"/>
          <w:szCs w:val="32"/>
          <w:highlight w:val="none"/>
          <w:lang w:val="en-US" w:eastAsia="zh-CN"/>
          <w14:textFill>
            <w14:solidFill>
              <w14:schemeClr w14:val="tx1"/>
            </w14:solidFill>
          </w14:textFill>
        </w:rPr>
        <w:t>万元</w:t>
      </w: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w:t>
      </w:r>
      <w:r>
        <w:rPr>
          <w:rStyle w:val="17"/>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完成预算</w:t>
      </w:r>
      <w:r>
        <w:rPr>
          <w:rStyle w:val="17"/>
          <w:rFonts w:hint="eastAsia" w:ascii="Times New Roman" w:hAnsi="Times New Roman" w:cs="仿宋_GB2312"/>
          <w:b w:val="0"/>
          <w:bCs/>
          <w:caps w:val="0"/>
          <w:color w:val="000000" w:themeColor="text1"/>
          <w:sz w:val="32"/>
          <w:szCs w:val="32"/>
          <w:highlight w:val="none"/>
          <w:lang w:val="en-US" w:eastAsia="zh-CN"/>
          <w14:textFill>
            <w14:solidFill>
              <w14:schemeClr w14:val="tx1"/>
            </w14:solidFill>
          </w14:textFill>
        </w:rPr>
        <w:t>100</w:t>
      </w:r>
      <w:r>
        <w:rPr>
          <w:rStyle w:val="17"/>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%。其中：</w:t>
      </w:r>
      <w:bookmarkEnd w:id="26"/>
      <w:bookmarkEnd w:id="27"/>
      <w:bookmarkEnd w:id="28"/>
    </w:p>
    <w:p>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一般公共服务（类）</w:t>
      </w:r>
      <w:r>
        <w:rPr>
          <w:rFonts w:hint="eastAsia" w:ascii="Times New Roman" w:hAnsi="Times New Roman" w:cs="仿宋_GB2312"/>
          <w:color w:val="000000" w:themeColor="text1"/>
          <w:kern w:val="2"/>
          <w:sz w:val="32"/>
          <w:szCs w:val="32"/>
          <w:highlight w:val="none"/>
          <w:lang w:val="en-US" w:eastAsia="zh-CN" w:bidi="ar-SA"/>
          <w14:textFill>
            <w14:solidFill>
              <w14:schemeClr w14:val="tx1"/>
            </w14:solidFill>
          </w14:textFill>
        </w:rPr>
        <w:t>组织事务</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（款）</w:t>
      </w:r>
      <w:r>
        <w:rPr>
          <w:rFonts w:hint="eastAsia" w:ascii="Times New Roman" w:hAnsi="Times New Roman" w:cs="仿宋_GB2312"/>
          <w:color w:val="000000" w:themeColor="text1"/>
          <w:kern w:val="2"/>
          <w:sz w:val="32"/>
          <w:szCs w:val="32"/>
          <w:highlight w:val="none"/>
          <w:lang w:val="en-US" w:eastAsia="zh-CN" w:bidi="ar-SA"/>
          <w14:textFill>
            <w14:solidFill>
              <w14:schemeClr w14:val="tx1"/>
            </w14:solidFill>
          </w14:textFill>
        </w:rPr>
        <w:t>其他组织事务</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w:t>
      </w:r>
      <w:r>
        <w:rPr>
          <w:rFonts w:hint="eastAsia" w:ascii="Times New Roman" w:hAnsi="Times New Roman" w:cs="仿宋_GB2312"/>
          <w:color w:val="000000" w:themeColor="text1"/>
          <w:kern w:val="2"/>
          <w:sz w:val="32"/>
          <w:szCs w:val="32"/>
          <w:highlight w:val="none"/>
          <w:lang w:val="en-US" w:eastAsia="zh-CN" w:bidi="ar-SA"/>
          <w14:textFill>
            <w14:solidFill>
              <w14:schemeClr w14:val="tx1"/>
            </w14:solidFill>
          </w14:textFill>
        </w:rPr>
        <w:t>239.94</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万元，完成预算</w:t>
      </w:r>
      <w:r>
        <w:rPr>
          <w:rFonts w:hint="eastAsia" w:ascii="Times New Roman" w:hAnsi="Times New Roman"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r>
        <w:rPr>
          <w:rStyle w:val="17"/>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与</w:t>
      </w:r>
      <w:r>
        <w:rPr>
          <w:rStyle w:val="17"/>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预算数</w:t>
      </w:r>
      <w:r>
        <w:rPr>
          <w:rStyle w:val="17"/>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持平。</w:t>
      </w:r>
    </w:p>
    <w:p>
      <w:pPr>
        <w:spacing w:line="600" w:lineRule="exact"/>
        <w:ind w:firstLine="640" w:firstLineChars="200"/>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pPr>
      <w:r>
        <w:rPr>
          <w:rStyle w:val="17"/>
          <w:rFonts w:hint="eastAsia" w:cs="仿宋_GB2312"/>
          <w:b w:val="0"/>
          <w:bCs w:val="0"/>
          <w:caps w:val="0"/>
          <w:color w:val="000000" w:themeColor="text1"/>
          <w:sz w:val="32"/>
          <w:szCs w:val="32"/>
          <w:highlight w:val="none"/>
          <w:lang w:val="en-US" w:eastAsia="zh-CN"/>
          <w14:textFill>
            <w14:solidFill>
              <w14:schemeClr w14:val="tx1"/>
            </w14:solidFill>
          </w14:textFill>
        </w:rPr>
        <w:t>2</w:t>
      </w:r>
      <w:r>
        <w:rPr>
          <w:rStyle w:val="17"/>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.教育（类）</w:t>
      </w:r>
      <w:r>
        <w:rPr>
          <w:rStyle w:val="17"/>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进修及培训</w:t>
      </w:r>
      <w:r>
        <w:rPr>
          <w:rStyle w:val="17"/>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（款）</w:t>
      </w:r>
      <w:r>
        <w:rPr>
          <w:rStyle w:val="17"/>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干部教育</w:t>
      </w:r>
      <w:r>
        <w:rPr>
          <w:rStyle w:val="17"/>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（项）:支出决算为</w:t>
      </w:r>
      <w:r>
        <w:rPr>
          <w:rStyle w:val="17"/>
          <w:rFonts w:hint="eastAsia" w:cs="仿宋_GB2312"/>
          <w:b w:val="0"/>
          <w:bCs w:val="0"/>
          <w:caps w:val="0"/>
          <w:color w:val="000000" w:themeColor="text1"/>
          <w:sz w:val="32"/>
          <w:szCs w:val="32"/>
          <w:highlight w:val="none"/>
          <w:lang w:val="en-US" w:eastAsia="zh-CN"/>
          <w14:textFill>
            <w14:solidFill>
              <w14:schemeClr w14:val="tx1"/>
            </w14:solidFill>
          </w14:textFill>
        </w:rPr>
        <w:t>2407.73</w:t>
      </w:r>
      <w:r>
        <w:rPr>
          <w:rStyle w:val="17"/>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万元，完成预算</w:t>
      </w:r>
      <w:r>
        <w:rPr>
          <w:rStyle w:val="17"/>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100</w:t>
      </w:r>
      <w:r>
        <w:rPr>
          <w:rStyle w:val="17"/>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w:t>
      </w:r>
      <w:r>
        <w:rPr>
          <w:rStyle w:val="17"/>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与</w:t>
      </w:r>
      <w:r>
        <w:rPr>
          <w:rStyle w:val="17"/>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预算数</w:t>
      </w:r>
      <w:r>
        <w:rPr>
          <w:rStyle w:val="17"/>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持平</w:t>
      </w:r>
      <w:r>
        <w:rPr>
          <w:rStyle w:val="17"/>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.社会保障和就业（类）行政事业单位养老（款）事业单位离退休（项）: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251.82</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17"/>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社会保障和就业（类）行政事业单位</w:t>
      </w:r>
      <w:r>
        <w:rPr>
          <w:rFonts w:hint="eastAsia" w:ascii="Times New Roman" w:hAnsi="Times New Roman" w:eastAsia="仿宋_GB2312" w:cs="仿宋_GB2312"/>
          <w:b w:val="0"/>
          <w:bCs w:val="0"/>
          <w:caps w:val="0"/>
          <w:color w:val="000000" w:themeColor="text1"/>
          <w:sz w:val="32"/>
          <w:szCs w:val="32"/>
          <w:highlight w:val="none"/>
          <w:lang w:eastAsia="zh-CN"/>
          <w14:textFill>
            <w14:solidFill>
              <w14:schemeClr w14:val="tx1"/>
            </w14:solidFill>
          </w14:textFill>
        </w:rPr>
        <w:t>养老</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（款）机关事业单位基本养老保险缴费（项）: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116.88</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17"/>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Fonts w:hint="eastAsia" w:ascii="Times New Roman" w:hAnsi="Times New Roman" w:eastAsia="仿宋"/>
          <w:b w:val="0"/>
          <w:bCs w:val="0"/>
          <w:caps w:val="0"/>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社会保障和就业（类）行政事业单位</w:t>
      </w:r>
      <w:r>
        <w:rPr>
          <w:rFonts w:hint="eastAsia" w:ascii="Times New Roman" w:hAnsi="Times New Roman" w:eastAsia="仿宋_GB2312" w:cs="仿宋_GB2312"/>
          <w:b w:val="0"/>
          <w:bCs w:val="0"/>
          <w:caps w:val="0"/>
          <w:color w:val="000000" w:themeColor="text1"/>
          <w:sz w:val="32"/>
          <w:szCs w:val="32"/>
          <w:highlight w:val="none"/>
          <w:lang w:eastAsia="zh-CN"/>
          <w14:textFill>
            <w14:solidFill>
              <w14:schemeClr w14:val="tx1"/>
            </w14:solidFill>
          </w14:textFill>
        </w:rPr>
        <w:t>养老</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（款）机关事业单位</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职业年金</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缴费（项）: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51.66</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17"/>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Fonts w:hint="eastAsia" w:ascii="Times New Roman" w:hAnsi="Times New Roman" w:eastAsia="仿宋"/>
          <w:b w:val="0"/>
          <w:bCs w:val="0"/>
          <w:caps w:val="0"/>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6</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社会保障和就业（类）</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抚恤</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（款）</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死亡抚恤</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78.28</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17"/>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Fonts w:hint="eastAsia" w:ascii="Times New Roman" w:hAnsi="Times New Roman" w:eastAsia="仿宋"/>
          <w:b w:val="0"/>
          <w:bCs w:val="0"/>
          <w:caps w:val="0"/>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Style w:val="17"/>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7</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卫生健康（类）行政事业单位医疗（款）事业</w:t>
      </w:r>
      <w:r>
        <w:rPr>
          <w:rFonts w:hint="eastAsia" w:ascii="Times New Roman" w:hAnsi="Times New Roman" w:eastAsia="仿宋_GB2312" w:cs="仿宋_GB2312"/>
          <w:b w:val="0"/>
          <w:bCs w:val="0"/>
          <w:caps w:val="0"/>
          <w:color w:val="000000" w:themeColor="text1"/>
          <w:sz w:val="32"/>
          <w:szCs w:val="32"/>
          <w:highlight w:val="none"/>
          <w:lang w:eastAsia="zh-CN"/>
          <w14:textFill>
            <w14:solidFill>
              <w14:schemeClr w14:val="tx1"/>
            </w14:solidFill>
          </w14:textFill>
        </w:rPr>
        <w:t>单位</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医疗（项）: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73.56</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17"/>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8</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卫生健康（类）行政事业单位医疗（款）</w:t>
      </w:r>
      <w:r>
        <w:rPr>
          <w:rFonts w:hint="eastAsia" w:ascii="Times New Roman" w:hAnsi="Times New Roman" w:eastAsia="仿宋_GB2312" w:cs="仿宋_GB2312"/>
          <w:b w:val="0"/>
          <w:bCs w:val="0"/>
          <w:caps w:val="0"/>
          <w:color w:val="000000" w:themeColor="text1"/>
          <w:sz w:val="32"/>
          <w:szCs w:val="32"/>
          <w:highlight w:val="none"/>
          <w:lang w:eastAsia="zh-CN"/>
          <w14:textFill>
            <w14:solidFill>
              <w14:schemeClr w14:val="tx1"/>
            </w14:solidFill>
          </w14:textFill>
        </w:rPr>
        <w:t>公务员医疗补助</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ascii="Times New Roman" w:hAnsi="Times New Roman" w:eastAsia="仿宋"/>
          <w:b w:val="0"/>
          <w:bCs w:val="0"/>
          <w:caps w:val="0"/>
          <w:color w:val="000000" w:themeColor="text1"/>
          <w:sz w:val="32"/>
          <w:szCs w:val="32"/>
          <w:lang w:val="en-US" w:eastAsia="zh-CN"/>
          <w14:textFill>
            <w14:solidFill>
              <w14:schemeClr w14:val="tx1"/>
            </w14:solidFill>
          </w14:textFill>
        </w:rPr>
        <w:t>22.2</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17"/>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 xml:space="preserve">住房保障（类）住房改革（款）住房公积金（项）: </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ascii="Times New Roman" w:hAnsi="Times New Roman" w:eastAsia="仿宋"/>
          <w:b w:val="0"/>
          <w:bCs w:val="0"/>
          <w:caps w:val="0"/>
          <w:color w:val="000000" w:themeColor="text1"/>
          <w:sz w:val="32"/>
          <w:szCs w:val="32"/>
          <w:lang w:val="en-US" w:eastAsia="zh-CN"/>
          <w14:textFill>
            <w14:solidFill>
              <w14:schemeClr w14:val="tx1"/>
            </w14:solidFill>
          </w14:textFill>
        </w:rPr>
        <w:t>10</w:t>
      </w:r>
      <w:r>
        <w:rPr>
          <w:rFonts w:hint="eastAsia" w:eastAsia="仿宋"/>
          <w:b w:val="0"/>
          <w:bCs w:val="0"/>
          <w:caps w:val="0"/>
          <w:color w:val="000000" w:themeColor="text1"/>
          <w:sz w:val="32"/>
          <w:szCs w:val="32"/>
          <w:lang w:val="en-US" w:eastAsia="zh-CN"/>
          <w14:textFill>
            <w14:solidFill>
              <w14:schemeClr w14:val="tx1"/>
            </w14:solidFill>
          </w14:textFill>
        </w:rPr>
        <w:t>1.13</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17"/>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17"/>
          <w:rFonts w:hint="eastAsia" w:ascii="Times New Roman" w:hAnsi="Times New Roman" w:eastAsia="仿宋"/>
          <w:b w:val="0"/>
          <w:bCs w:val="0"/>
          <w:caps w:val="0"/>
          <w:color w:val="000000" w:themeColor="text1"/>
          <w:sz w:val="32"/>
          <w:szCs w:val="32"/>
          <w14:textFill>
            <w14:solidFill>
              <w14:schemeClr w14:val="tx1"/>
            </w14:solidFill>
          </w14:textFill>
        </w:rPr>
        <w:t>。</w:t>
      </w:r>
    </w:p>
    <w:p>
      <w:pPr>
        <w:tabs>
          <w:tab w:val="right" w:pos="8306"/>
        </w:tabs>
        <w:spacing w:line="600" w:lineRule="exact"/>
        <w:ind w:firstLine="640"/>
        <w:outlineLvl w:val="1"/>
        <w:rPr>
          <w:rStyle w:val="20"/>
          <w:rFonts w:ascii="Times New Roman" w:hAnsi="Times New Roman"/>
          <w:caps w:val="0"/>
          <w:color w:val="000000" w:themeColor="text1"/>
          <w14:textFill>
            <w14:solidFill>
              <w14:schemeClr w14:val="tx1"/>
            </w14:solidFill>
          </w14:textFill>
        </w:rPr>
      </w:pPr>
      <w:bookmarkStart w:id="29" w:name="_Toc15377214"/>
      <w:bookmarkStart w:id="30" w:name="_Toc15396608"/>
      <w:bookmarkStart w:id="31" w:name="_Toc31388"/>
      <w:r>
        <w:rPr>
          <w:rFonts w:hint="eastAsia" w:ascii="Times New Roman" w:hAnsi="Times New Roman" w:eastAsia="黑体"/>
          <w:caps w:val="0"/>
          <w:color w:val="000000" w:themeColor="text1"/>
          <w:sz w:val="32"/>
          <w:szCs w:val="32"/>
          <w14:textFill>
            <w14:solidFill>
              <w14:schemeClr w14:val="tx1"/>
            </w14:solidFill>
          </w14:textFill>
        </w:rPr>
        <w:t>六</w:t>
      </w:r>
      <w:r>
        <w:rPr>
          <w:rFonts w:hint="eastAsia" w:ascii="Times New Roman" w:hAnsi="Times New Roman" w:eastAsia="黑体"/>
          <w:b/>
          <w:caps w:val="0"/>
          <w:color w:val="000000" w:themeColor="text1"/>
          <w:sz w:val="32"/>
          <w:szCs w:val="32"/>
          <w14:textFill>
            <w14:solidFill>
              <w14:schemeClr w14:val="tx1"/>
            </w14:solidFill>
          </w14:textFill>
        </w:rPr>
        <w:t>、一</w:t>
      </w:r>
      <w:r>
        <w:rPr>
          <w:rStyle w:val="20"/>
          <w:rFonts w:hint="eastAsia" w:ascii="Times New Roman" w:hAnsi="Times New Roman" w:eastAsia="黑体"/>
          <w:b w:val="0"/>
          <w:caps w:val="0"/>
          <w:color w:val="000000" w:themeColor="text1"/>
          <w14:textFill>
            <w14:solidFill>
              <w14:schemeClr w14:val="tx1"/>
            </w14:solidFill>
          </w14:textFill>
        </w:rPr>
        <w:t>般公共预算财政拨款基本支出决算情况说明</w:t>
      </w:r>
      <w:bookmarkEnd w:id="29"/>
      <w:bookmarkEnd w:id="30"/>
      <w:bookmarkEnd w:id="31"/>
      <w:r>
        <w:rPr>
          <w:rStyle w:val="20"/>
          <w:rFonts w:ascii="Times New Roman" w:hAnsi="Times New Roman" w:eastAsia="黑体"/>
          <w:b w:val="0"/>
          <w:caps w:val="0"/>
          <w:color w:val="000000" w:themeColor="text1"/>
          <w14:textFill>
            <w14:solidFill>
              <w14:schemeClr w14:val="tx1"/>
            </w14:solidFill>
          </w14:textFill>
        </w:rPr>
        <w:tab/>
      </w:r>
    </w:p>
    <w:p>
      <w:pPr>
        <w:spacing w:line="600" w:lineRule="exact"/>
        <w:ind w:firstLine="645"/>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一般公共预算财政拨款基本支出</w:t>
      </w:r>
      <w:r>
        <w:rPr>
          <w:rFonts w:hint="eastAsia" w:cs="仿宋_GB2312"/>
          <w:caps w:val="0"/>
          <w:color w:val="000000" w:themeColor="text1"/>
          <w:sz w:val="32"/>
          <w:szCs w:val="32"/>
          <w:highlight w:val="none"/>
          <w:lang w:val="en-US" w:eastAsia="zh-CN"/>
          <w14:textFill>
            <w14:solidFill>
              <w14:schemeClr w14:val="tx1"/>
            </w14:solidFill>
          </w14:textFill>
        </w:rPr>
        <w:t>1860.23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万元，其中：</w:t>
      </w:r>
    </w:p>
    <w:p>
      <w:pPr>
        <w:spacing w:line="600" w:lineRule="exact"/>
        <w:ind w:firstLine="645"/>
        <w:rPr>
          <w:rFonts w:hint="eastAsia" w:ascii="Times New Roman" w:hAnsi="Times New Roman" w:eastAsia="仿宋_GB2312" w:cs="仿宋_GB2312"/>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人员经费</w:t>
      </w:r>
      <w:r>
        <w:rPr>
          <w:rFonts w:hint="eastAsia" w:cs="仿宋_GB2312"/>
          <w:caps w:val="0"/>
          <w:color w:val="000000" w:themeColor="text1"/>
          <w:sz w:val="32"/>
          <w:szCs w:val="32"/>
          <w:highlight w:val="none"/>
          <w:lang w:val="en-US" w:eastAsia="zh-CN"/>
          <w14:textFill>
            <w14:solidFill>
              <w14:schemeClr w14:val="tx1"/>
            </w14:solidFill>
          </w14:textFill>
        </w:rPr>
        <w:t>1665.03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万元，主要包括：基本工资、津贴补贴、奖金、绩效工资、机关事业单位基本养老保险缴费、职业年金缴费、</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职工基本医疗保险缴费、公务员医疗补助缴费、</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其他社会保障缴费、住房公积金、其他工资福利支出、</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抚恤金</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、其他对个人和家庭的补助支出等。</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br w:type="textWrapping"/>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　　公用经费</w:t>
      </w:r>
      <w:r>
        <w:rPr>
          <w:rFonts w:hint="eastAsia" w:cs="仿宋_GB2312"/>
          <w:caps w:val="0"/>
          <w:color w:val="000000" w:themeColor="text1"/>
          <w:sz w:val="32"/>
          <w:szCs w:val="32"/>
          <w:highlight w:val="none"/>
          <w:lang w:val="en-US" w:eastAsia="zh-CN"/>
          <w14:textFill>
            <w14:solidFill>
              <w14:schemeClr w14:val="tx1"/>
            </w14:solidFill>
          </w14:textFill>
        </w:rPr>
        <w:t>195.2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万元，主要包括：办公费、印刷费、水费、电费、邮电费、物业管理费、差旅费、维修（护）费、</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租赁费、</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培训费、公务接待费、劳务费、委托业务费、工会经费、福利费、公务用车运行维护费、其他交通费</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用</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、其他商品和服务支出等。</w:t>
      </w:r>
    </w:p>
    <w:p>
      <w:pPr>
        <w:spacing w:line="600" w:lineRule="exact"/>
        <w:ind w:firstLine="640"/>
        <w:outlineLvl w:val="1"/>
        <w:rPr>
          <w:rStyle w:val="20"/>
          <w:rFonts w:ascii="Times New Roman" w:hAnsi="Times New Roman" w:eastAsia="黑体"/>
          <w:b w:val="0"/>
          <w:caps w:val="0"/>
          <w:color w:val="000000" w:themeColor="text1"/>
          <w14:textFill>
            <w14:solidFill>
              <w14:schemeClr w14:val="tx1"/>
            </w14:solidFill>
          </w14:textFill>
        </w:rPr>
      </w:pPr>
      <w:bookmarkStart w:id="32" w:name="_Toc15396609"/>
      <w:bookmarkStart w:id="33" w:name="_Toc15377215"/>
      <w:bookmarkStart w:id="34" w:name="_Toc19233"/>
      <w:r>
        <w:rPr>
          <w:rFonts w:hint="eastAsia" w:ascii="Times New Roman" w:hAnsi="Times New Roman" w:eastAsia="黑体"/>
          <w:caps w:val="0"/>
          <w:color w:val="000000" w:themeColor="text1"/>
          <w:sz w:val="32"/>
          <w:szCs w:val="32"/>
          <w14:textFill>
            <w14:solidFill>
              <w14:schemeClr w14:val="tx1"/>
            </w14:solidFill>
          </w14:textFill>
        </w:rPr>
        <w:t>七、</w:t>
      </w:r>
      <w:r>
        <w:rPr>
          <w:rStyle w:val="20"/>
          <w:rFonts w:hint="eastAsia" w:ascii="Times New Roman" w:hAnsi="Times New Roman" w:eastAsia="黑体"/>
          <w:b w:val="0"/>
          <w:caps w:val="0"/>
          <w:color w:val="000000" w:themeColor="text1"/>
          <w14:textFill>
            <w14:solidFill>
              <w14:schemeClr w14:val="tx1"/>
            </w14:solidFill>
          </w14:textFill>
        </w:rPr>
        <w:t>财政拨款</w:t>
      </w:r>
      <w:r>
        <w:rPr>
          <w:rStyle w:val="20"/>
          <w:rFonts w:hint="eastAsia" w:ascii="Times New Roman" w:hAnsi="Times New Roman" w:eastAsia="黑体"/>
          <w:caps w:val="0"/>
          <w:color w:val="000000" w:themeColor="text1"/>
          <w14:textFill>
            <w14:solidFill>
              <w14:schemeClr w14:val="tx1"/>
            </w14:solidFill>
          </w14:textFill>
        </w:rPr>
        <w:t>“</w:t>
      </w:r>
      <w:r>
        <w:rPr>
          <w:rStyle w:val="20"/>
          <w:rFonts w:hint="eastAsia" w:ascii="Times New Roman" w:hAnsi="Times New Roman" w:eastAsia="黑体"/>
          <w:b w:val="0"/>
          <w:caps w:val="0"/>
          <w:color w:val="000000" w:themeColor="text1"/>
          <w14:textFill>
            <w14:solidFill>
              <w14:schemeClr w14:val="tx1"/>
            </w14:solidFill>
          </w14:textFill>
        </w:rPr>
        <w:t>三公”经费支出决算情况说明</w:t>
      </w:r>
      <w:bookmarkEnd w:id="32"/>
      <w:bookmarkEnd w:id="33"/>
      <w:bookmarkEnd w:id="34"/>
    </w:p>
    <w:p>
      <w:pPr>
        <w:spacing w:line="600" w:lineRule="exact"/>
        <w:ind w:firstLine="640"/>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bookmarkStart w:id="35" w:name="_Toc15377216"/>
      <w:r>
        <w:rPr>
          <w:rFonts w:hint="eastAsia" w:ascii="Times New Roman" w:hAnsi="Times New Roman" w:eastAsia="仿宋_GB2312" w:cs="仿宋_GB2312"/>
          <w:b/>
          <w:caps w:val="0"/>
          <w:color w:val="000000" w:themeColor="text1"/>
          <w:sz w:val="32"/>
          <w:szCs w:val="32"/>
          <w14:textFill>
            <w14:solidFill>
              <w14:schemeClr w14:val="tx1"/>
            </w14:solidFill>
          </w14:textFill>
        </w:rPr>
        <w:t>（一）财政拨款“三公”经费支出决算总体情况说明</w:t>
      </w:r>
      <w:bookmarkEnd w:id="35"/>
    </w:p>
    <w:p>
      <w:pPr>
        <w:spacing w:line="600" w:lineRule="exact"/>
        <w:ind w:firstLine="640"/>
        <w:rPr>
          <w:rFonts w:hint="eastAsia" w:ascii="Times New Roman" w:hAnsi="Times New Roman" w:eastAsia="仿宋_GB2312" w:cs="仿宋_GB2312"/>
          <w:caps w:val="0"/>
          <w:color w:val="000000" w:themeColor="text1"/>
          <w:sz w:val="32"/>
          <w:szCs w:val="32"/>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财政拨款“三公”经费支出决算为</w:t>
      </w:r>
      <w:r>
        <w:rPr>
          <w:rFonts w:hint="eastAsia" w:cs="仿宋_GB2312"/>
          <w:caps w:val="0"/>
          <w:color w:val="000000" w:themeColor="text1"/>
          <w:sz w:val="32"/>
          <w:szCs w:val="32"/>
          <w:highlight w:val="none"/>
          <w:lang w:val="en-US" w:eastAsia="zh-CN"/>
          <w14:textFill>
            <w14:solidFill>
              <w14:schemeClr w14:val="tx1"/>
            </w14:solidFill>
          </w14:textFill>
        </w:rPr>
        <w:t>2.92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万元，完成预算</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较上年</w:t>
      </w:r>
      <w:r>
        <w:rPr>
          <w:rFonts w:hint="eastAsia" w:cs="仿宋_GB2312"/>
          <w:caps w:val="0"/>
          <w:color w:val="000000" w:themeColor="text1"/>
          <w:sz w:val="32"/>
          <w:szCs w:val="32"/>
          <w:highlight w:val="none"/>
          <w:lang w:eastAsia="zh-CN"/>
          <w14:textFill>
            <w14:solidFill>
              <w14:schemeClr w14:val="tx1"/>
            </w14:solidFill>
          </w14:textFill>
        </w:rPr>
        <w:t>度</w:t>
      </w:r>
      <w:r>
        <w:rPr>
          <w:rFonts w:hint="eastAsia" w:cs="仿宋_GB2312"/>
          <w:caps w:val="0"/>
          <w:color w:val="000000" w:themeColor="text1"/>
          <w:sz w:val="32"/>
          <w:szCs w:val="32"/>
          <w:highlight w:val="none"/>
          <w:lang w:val="en-US" w:eastAsia="zh-CN"/>
          <w14:textFill>
            <w14:solidFill>
              <w14:schemeClr w14:val="tx1"/>
            </w14:solidFill>
          </w14:textFill>
        </w:rPr>
        <w:t>增加0.14</w:t>
      </w:r>
      <w:r>
        <w:rPr>
          <w:rFonts w:hint="eastAsia" w:ascii="Times New Roman" w:hAnsi="Times New Roman" w:eastAsia="仿宋_GB2312" w:cs="仿宋_GB2312"/>
          <w:caps w:val="0"/>
          <w:color w:val="000000" w:themeColor="text1"/>
          <w:sz w:val="32"/>
          <w:szCs w:val="32"/>
          <w:highlight w:val="none"/>
          <w:lang w:val="en-US" w:eastAsia="zh-CN"/>
          <w14:textFill>
            <w14:solidFill>
              <w14:schemeClr w14:val="tx1"/>
            </w14:solidFill>
          </w14:textFill>
        </w:rPr>
        <w:t>万元，</w:t>
      </w:r>
      <w:r>
        <w:rPr>
          <w:rFonts w:hint="eastAsia" w:cs="仿宋_GB2312"/>
          <w:caps w:val="0"/>
          <w:color w:val="000000" w:themeColor="text1"/>
          <w:sz w:val="32"/>
          <w:szCs w:val="32"/>
          <w:highlight w:val="none"/>
          <w:lang w:val="en-US" w:eastAsia="zh-CN"/>
          <w14:textFill>
            <w14:solidFill>
              <w14:schemeClr w14:val="tx1"/>
            </w14:solidFill>
          </w14:textFill>
        </w:rPr>
        <w:t>增长5.04</w:t>
      </w:r>
      <w:r>
        <w:rPr>
          <w:rFonts w:hint="eastAsia" w:ascii="Times New Roman" w:hAnsi="Times New Roman" w:eastAsia="仿宋_GB2312" w:cs="仿宋_GB2312"/>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决算数与预算数持平。</w:t>
      </w:r>
    </w:p>
    <w:p>
      <w:pPr>
        <w:spacing w:line="600" w:lineRule="exact"/>
        <w:ind w:firstLine="640"/>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bookmarkStart w:id="36" w:name="_Toc15377217"/>
      <w:r>
        <w:rPr>
          <w:rFonts w:hint="eastAsia" w:ascii="Times New Roman" w:hAnsi="Times New Roman" w:eastAsia="仿宋_GB2312" w:cs="仿宋_GB2312"/>
          <w:b/>
          <w:caps w:val="0"/>
          <w:color w:val="000000" w:themeColor="text1"/>
          <w:sz w:val="32"/>
          <w:szCs w:val="32"/>
          <w14:textFill>
            <w14:solidFill>
              <w14:schemeClr w14:val="tx1"/>
            </w14:solidFill>
          </w14:textFill>
        </w:rPr>
        <w:t>（二）财政拨款“三公”经费支出决算具体情况说明</w:t>
      </w:r>
      <w:bookmarkEnd w:id="36"/>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财政拨款“三公”经费支出决算中，因公出国（境）费支出决算</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%；公务用车购置及运行维护费支出决算</w:t>
      </w:r>
      <w:r>
        <w:rPr>
          <w:rFonts w:hint="eastAsia" w:cs="仿宋_GB2312"/>
          <w:caps w:val="0"/>
          <w:color w:val="000000" w:themeColor="text1"/>
          <w:sz w:val="32"/>
          <w:szCs w:val="32"/>
          <w:highlight w:val="none"/>
          <w:lang w:val="en-US" w:eastAsia="zh-CN"/>
          <w14:textFill>
            <w14:solidFill>
              <w14:schemeClr w14:val="tx1"/>
            </w14:solidFill>
          </w14:textFill>
        </w:rPr>
        <w:t>1.98</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6</w:t>
      </w:r>
      <w:r>
        <w:rPr>
          <w:rFonts w:hint="eastAsia" w:cs="仿宋_GB2312"/>
          <w:caps w:val="0"/>
          <w:color w:val="000000" w:themeColor="text1"/>
          <w:sz w:val="32"/>
          <w:szCs w:val="32"/>
          <w:highlight w:val="none"/>
          <w:lang w:val="en-US" w:eastAsia="zh-CN"/>
          <w14:textFill>
            <w14:solidFill>
              <w14:schemeClr w14:val="tx1"/>
            </w14:solidFill>
          </w14:textFill>
        </w:rPr>
        <w:t>7.81</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%；公务接待费支出决算</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0.9</w:t>
      </w:r>
      <w:r>
        <w:rPr>
          <w:rFonts w:hint="eastAsia"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32.19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%。具体情况如下：</w:t>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drawing>
          <wp:anchor distT="0" distB="0" distL="114300" distR="114300" simplePos="0" relativeHeight="251662336" behindDoc="0" locked="0" layoutInCell="1" allowOverlap="1">
            <wp:simplePos x="0" y="0"/>
            <wp:positionH relativeFrom="column">
              <wp:posOffset>429895</wp:posOffset>
            </wp:positionH>
            <wp:positionV relativeFrom="paragraph">
              <wp:posOffset>213995</wp:posOffset>
            </wp:positionV>
            <wp:extent cx="4572635" cy="2743200"/>
            <wp:effectExtent l="4445" t="4445" r="13970" b="14605"/>
            <wp:wrapNone/>
            <wp:docPr id="113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jc w:val="cente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jc w:val="cente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jc w:val="cente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（图7：“三公”经费财政拨款支出结构）</w:t>
      </w:r>
    </w:p>
    <w:p>
      <w:pPr>
        <w:spacing w:line="600" w:lineRule="exact"/>
        <w:ind w:firstLine="640"/>
        <w:rPr>
          <w:rFonts w:hint="eastAsia" w:ascii="Times New Roman" w:hAnsi="Times New Roman" w:eastAsia="仿宋_GB2312" w:cs="仿宋_GB2312"/>
          <w:b/>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caps w:val="0"/>
          <w:color w:val="000000" w:themeColor="text1"/>
          <w:sz w:val="32"/>
          <w:szCs w:val="32"/>
          <w:highlight w:val="none"/>
          <w14:textFill>
            <w14:solidFill>
              <w14:schemeClr w14:val="tx1"/>
            </w14:solidFill>
          </w14:textFill>
        </w:rPr>
        <w:t>1.因公出国（境）经费支出</w:t>
      </w:r>
      <w:r>
        <w:rPr>
          <w:rFonts w:hint="eastAsia" w:ascii="Times New Roman" w:hAnsi="Times New Roman" w:cs="仿宋_GB2312"/>
          <w:b/>
          <w:bCs/>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万元</w:t>
      </w:r>
      <w:r>
        <w:rPr>
          <w:rFonts w:hint="eastAsia" w:cs="仿宋_GB2312"/>
          <w:b/>
          <w:bCs/>
          <w:caps w:val="0"/>
          <w:color w:val="000000" w:themeColor="text1"/>
          <w:sz w:val="32"/>
          <w:szCs w:val="32"/>
          <w:highlight w:val="none"/>
          <w:lang w:eastAsia="zh-CN"/>
          <w14:textFill>
            <w14:solidFill>
              <w14:schemeClr w14:val="tx1"/>
            </w14:solidFill>
          </w14:textFill>
        </w:rPr>
        <w:t>，完成预算</w:t>
      </w:r>
      <w:r>
        <w:rPr>
          <w:rFonts w:hint="eastAsia" w:cs="仿宋_GB2312"/>
          <w:b/>
          <w:bCs/>
          <w:caps w:val="0"/>
          <w:color w:val="000000" w:themeColor="text1"/>
          <w:sz w:val="32"/>
          <w:szCs w:val="32"/>
          <w:highlight w:val="none"/>
          <w:lang w:val="en-US" w:eastAsia="zh-CN"/>
          <w14:textFill>
            <w14:solidFill>
              <w14:schemeClr w14:val="tx1"/>
            </w14:solidFill>
          </w14:textFill>
        </w:rPr>
        <w:t>100%</w:t>
      </w:r>
      <w:r>
        <w:rPr>
          <w:rStyle w:val="17"/>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全年安排因公出国（境）团组</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次，出国（境）</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人。因公出国（境）支出决算</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与</w:t>
      </w:r>
      <w:r>
        <w:rPr>
          <w:rFonts w:hint="eastAsia" w:cs="仿宋_GB2312"/>
          <w:caps w:val="0"/>
          <w:color w:val="000000" w:themeColor="text1"/>
          <w:sz w:val="32"/>
          <w:szCs w:val="32"/>
          <w:highlight w:val="none"/>
          <w:lang w:eastAsia="zh-CN"/>
          <w14:textFill>
            <w14:solidFill>
              <w14:schemeClr w14:val="tx1"/>
            </w14:solidFill>
          </w14:textFill>
        </w:rPr>
        <w:t>上年度</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持平</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pStyle w:val="5"/>
        <w:ind w:left="0" w:firstLine="643" w:firstLineChars="200"/>
        <w:rPr>
          <w:rFonts w:hint="eastAsia" w:ascii="Times New Roman" w:hAnsi="Times New Roman" w:eastAsia="仿宋_GB2312" w:cs="仿宋_GB2312"/>
          <w:b/>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bCs w:val="0"/>
          <w:caps w:val="0"/>
          <w:color w:val="000000" w:themeColor="text1"/>
          <w:sz w:val="32"/>
          <w:szCs w:val="32"/>
          <w:highlight w:val="none"/>
          <w14:textFill>
            <w14:solidFill>
              <w14:schemeClr w14:val="tx1"/>
            </w14:solidFill>
          </w14:textFill>
        </w:rPr>
        <w:t>2.公务用车购置及运行维护费支出</w:t>
      </w:r>
      <w:r>
        <w:rPr>
          <w:rFonts w:hint="eastAsia" w:cs="仿宋_GB2312"/>
          <w:b/>
          <w:bCs w:val="0"/>
          <w:caps w:val="0"/>
          <w:color w:val="000000" w:themeColor="text1"/>
          <w:sz w:val="32"/>
          <w:szCs w:val="32"/>
          <w:highlight w:val="none"/>
          <w:lang w:val="en-US" w:eastAsia="zh-CN"/>
          <w14:textFill>
            <w14:solidFill>
              <w14:schemeClr w14:val="tx1"/>
            </w14:solidFill>
          </w14:textFill>
        </w:rPr>
        <w:t>1.98</w:t>
      </w:r>
      <w:r>
        <w:rPr>
          <w:rFonts w:hint="eastAsia" w:ascii="Times New Roman" w:hAnsi="Times New Roman" w:eastAsia="仿宋_GB2312" w:cs="仿宋_GB2312"/>
          <w:b/>
          <w:bCs w:val="0"/>
          <w:caps w:val="0"/>
          <w:color w:val="000000" w:themeColor="text1"/>
          <w:sz w:val="32"/>
          <w:szCs w:val="32"/>
          <w:highlight w:val="none"/>
          <w14:textFill>
            <w14:solidFill>
              <w14:schemeClr w14:val="tx1"/>
            </w14:solidFill>
          </w14:textFill>
        </w:rPr>
        <w:t>万元</w:t>
      </w:r>
      <w:r>
        <w:rPr>
          <w:rFonts w:hint="eastAsia" w:cs="仿宋_GB2312"/>
          <w:b/>
          <w:bCs w:val="0"/>
          <w:caps w:val="0"/>
          <w:color w:val="000000" w:themeColor="text1"/>
          <w:sz w:val="32"/>
          <w:szCs w:val="32"/>
          <w:highlight w:val="none"/>
          <w:lang w:eastAsia="zh-CN"/>
          <w14:textFill>
            <w14:solidFill>
              <w14:schemeClr w14:val="tx1"/>
            </w14:solidFill>
          </w14:textFill>
        </w:rPr>
        <w:t>，</w:t>
      </w:r>
      <w:r>
        <w:rPr>
          <w:rStyle w:val="17"/>
          <w:rFonts w:hint="eastAsia" w:ascii="Times New Roman" w:hAnsi="Times New Roman" w:eastAsia="仿宋_GB2312" w:cs="仿宋_GB2312"/>
          <w:b/>
          <w:bCs w:val="0"/>
          <w:caps w:val="0"/>
          <w:color w:val="000000" w:themeColor="text1"/>
          <w:sz w:val="32"/>
          <w:szCs w:val="32"/>
          <w:highlight w:val="none"/>
          <w14:textFill>
            <w14:solidFill>
              <w14:schemeClr w14:val="tx1"/>
            </w14:solidFill>
          </w14:textFill>
        </w:rPr>
        <w:t>完成预算</w:t>
      </w:r>
      <w:r>
        <w:rPr>
          <w:rStyle w:val="17"/>
          <w:rFonts w:hint="eastAsia" w:ascii="Times New Roman" w:hAnsi="Times New Roman" w:cs="仿宋_GB2312"/>
          <w:b/>
          <w:bCs w:val="0"/>
          <w:caps w:val="0"/>
          <w:color w:val="000000" w:themeColor="text1"/>
          <w:sz w:val="32"/>
          <w:szCs w:val="32"/>
          <w:highlight w:val="none"/>
          <w:lang w:val="en-US" w:eastAsia="zh-CN"/>
          <w14:textFill>
            <w14:solidFill>
              <w14:schemeClr w14:val="tx1"/>
            </w14:solidFill>
          </w14:textFill>
        </w:rPr>
        <w:t>100</w:t>
      </w:r>
      <w:r>
        <w:rPr>
          <w:rStyle w:val="17"/>
          <w:rFonts w:hint="eastAsia" w:ascii="Times New Roman" w:hAnsi="Times New Roman" w:eastAsia="仿宋_GB2312" w:cs="仿宋_GB2312"/>
          <w:b/>
          <w:bCs w:val="0"/>
          <w:cap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公务用车购置及运行维护费支出决算比</w:t>
      </w:r>
      <w:r>
        <w:rPr>
          <w:rFonts w:hint="eastAsia" w:cs="仿宋_GB2312"/>
          <w:caps w:val="0"/>
          <w:color w:val="000000" w:themeColor="text1"/>
          <w:sz w:val="32"/>
          <w:szCs w:val="32"/>
          <w:highlight w:val="none"/>
          <w:lang w:eastAsia="zh-CN"/>
          <w14:textFill>
            <w14:solidFill>
              <w14:schemeClr w14:val="tx1"/>
            </w14:solidFill>
          </w14:textFill>
        </w:rPr>
        <w:t>上年度增加</w:t>
      </w:r>
      <w:r>
        <w:rPr>
          <w:rFonts w:hint="eastAsia" w:cs="仿宋_GB2312"/>
          <w:caps w:val="0"/>
          <w:color w:val="000000" w:themeColor="text1"/>
          <w:sz w:val="32"/>
          <w:szCs w:val="32"/>
          <w:highlight w:val="none"/>
          <w:lang w:val="en-US" w:eastAsia="zh-CN"/>
          <w14:textFill>
            <w14:solidFill>
              <w14:schemeClr w14:val="tx1"/>
            </w14:solidFill>
          </w14:textFill>
        </w:rPr>
        <w:t>0.19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增长</w:t>
      </w:r>
      <w:r>
        <w:rPr>
          <w:rFonts w:hint="eastAsia" w:cs="仿宋_GB2312"/>
          <w:caps w:val="0"/>
          <w:color w:val="000000" w:themeColor="text1"/>
          <w:sz w:val="32"/>
          <w:szCs w:val="32"/>
          <w:highlight w:val="none"/>
          <w:lang w:val="en-US" w:eastAsia="zh-CN"/>
          <w14:textFill>
            <w14:solidFill>
              <w14:schemeClr w14:val="tx1"/>
            </w14:solidFill>
          </w14:textFill>
        </w:rPr>
        <w:t>10.61</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%。主要原因是</w:t>
      </w:r>
      <w:r>
        <w:rPr>
          <w:rFonts w:hint="eastAsia" w:ascii="Times New Roman" w:hAnsi="Times New Roman" w:eastAsia="仿宋_GB2312" w:cs="仿宋"/>
          <w:color w:val="000000" w:themeColor="text1"/>
          <w:sz w:val="32"/>
          <w:szCs w:val="32"/>
          <w14:textFill>
            <w14:solidFill>
              <w14:schemeClr w14:val="tx1"/>
            </w14:solidFill>
          </w14:textFill>
        </w:rPr>
        <w:t>202</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5</w:t>
      </w:r>
      <w:r>
        <w:rPr>
          <w:rFonts w:hint="eastAsia" w:ascii="Times New Roman" w:hAnsi="Times New Roman" w:eastAsia="仿宋_GB2312" w:cs="仿宋"/>
          <w:color w:val="000000" w:themeColor="text1"/>
          <w:sz w:val="32"/>
          <w:szCs w:val="32"/>
          <w14:textFill>
            <w14:solidFill>
              <w14:schemeClr w14:val="tx1"/>
            </w14:solidFill>
          </w14:textFill>
        </w:rPr>
        <w:t>年</w:t>
      </w:r>
      <w:r>
        <w:rPr>
          <w:rFonts w:hint="eastAsia" w:ascii="Times New Roman" w:hAnsi="Times New Roman" w:eastAsia="仿宋_GB2312" w:cs="仿宋"/>
          <w:color w:val="000000" w:themeColor="text1"/>
          <w:sz w:val="32"/>
          <w:szCs w:val="32"/>
          <w:lang w:eastAsia="zh-CN"/>
          <w14:textFill>
            <w14:solidFill>
              <w14:schemeClr w14:val="tx1"/>
            </w14:solidFill>
          </w14:textFill>
        </w:rPr>
        <w:t>公务用车外出公务活动频次略有增加</w:t>
      </w:r>
      <w:r>
        <w:rPr>
          <w:rFonts w:hint="eastAsia" w:ascii="Times New Roman" w:hAnsi="Times New Roman" w:eastAsia="仿宋_GB2312" w:cs="仿宋"/>
          <w:color w:val="000000" w:themeColor="text1"/>
          <w:sz w:val="32"/>
          <w:szCs w:val="32"/>
          <w14:textFill>
            <w14:solidFill>
              <w14:schemeClr w14:val="tx1"/>
            </w14:solidFill>
          </w14:textFill>
        </w:rPr>
        <w:t>。</w:t>
      </w:r>
    </w:p>
    <w:p>
      <w:pPr>
        <w:spacing w:line="600" w:lineRule="exact"/>
        <w:ind w:firstLine="640" w:firstLineChars="200"/>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其中：公务用车购置支出</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万元。全年按规定更新购置公务用车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辆，其中：轿车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辆、金额</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万元，越野车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辆、金额</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万元，载客汽车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辆、金额</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万元。截至</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202</w:t>
      </w:r>
      <w:r>
        <w:rPr>
          <w:rFonts w:hint="eastAsia" w:cs="仿宋_GB2312"/>
          <w:b w:val="0"/>
          <w:bCs w:val="0"/>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年</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12月</w:t>
      </w:r>
      <w:r>
        <w:rPr>
          <w:rFonts w:hint="eastAsia" w:cs="仿宋_GB2312"/>
          <w:b w:val="0"/>
          <w:bCs w:val="0"/>
          <w:caps w:val="0"/>
          <w:color w:val="000000" w:themeColor="text1"/>
          <w:sz w:val="32"/>
          <w:szCs w:val="32"/>
          <w:highlight w:val="none"/>
          <w:lang w:val="en-US" w:eastAsia="zh-CN"/>
          <w14:textFill>
            <w14:solidFill>
              <w14:schemeClr w14:val="tx1"/>
            </w14:solidFill>
          </w14:textFill>
        </w:rPr>
        <w:t>31日</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，单位共有公务用车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辆，其中：轿车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辆、越野车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辆、载客汽车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w:t>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公务用车运行维护费支出</w:t>
      </w:r>
      <w:r>
        <w:rPr>
          <w:rFonts w:hint="eastAsia" w:cs="仿宋_GB2312"/>
          <w:b w:val="0"/>
          <w:bCs/>
          <w:caps w:val="0"/>
          <w:color w:val="000000" w:themeColor="text1"/>
          <w:sz w:val="32"/>
          <w:szCs w:val="32"/>
          <w:highlight w:val="none"/>
          <w:lang w:val="en-US" w:eastAsia="zh-CN"/>
          <w14:textFill>
            <w14:solidFill>
              <w14:schemeClr w14:val="tx1"/>
            </w14:solidFill>
          </w14:textFill>
        </w:rPr>
        <w:t>1.98</w:t>
      </w: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万元。</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主要用于</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党校教学、科研工作</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等所需的公务用车燃料费、维修费、过路过桥费、保险费等支出。</w:t>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caps w:val="0"/>
          <w:color w:val="000000" w:themeColor="text1"/>
          <w:sz w:val="32"/>
          <w:szCs w:val="32"/>
          <w:highlight w:val="none"/>
          <w14:textFill>
            <w14:solidFill>
              <w14:schemeClr w14:val="tx1"/>
            </w14:solidFill>
          </w14:textFill>
        </w:rPr>
        <w:t>3.公务接待费支出</w:t>
      </w:r>
      <w:r>
        <w:rPr>
          <w:rFonts w:hint="eastAsia" w:cs="仿宋_GB2312"/>
          <w:b/>
          <w:caps w:val="0"/>
          <w:color w:val="000000" w:themeColor="text1"/>
          <w:sz w:val="32"/>
          <w:szCs w:val="32"/>
          <w:highlight w:val="none"/>
          <w:lang w:val="en-US" w:eastAsia="zh-CN"/>
          <w14:textFill>
            <w14:solidFill>
              <w14:schemeClr w14:val="tx1"/>
            </w14:solidFill>
          </w14:textFill>
        </w:rPr>
        <w:t>0.94</w:t>
      </w:r>
      <w:r>
        <w:rPr>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万元，</w:t>
      </w:r>
      <w:r>
        <w:rPr>
          <w:rStyle w:val="17"/>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完成预算</w:t>
      </w:r>
      <w:r>
        <w:rPr>
          <w:rStyle w:val="17"/>
          <w:rFonts w:hint="eastAsia" w:ascii="Times New Roman" w:hAnsi="Times New Roman" w:cs="仿宋_GB2312"/>
          <w:b/>
          <w:bCs/>
          <w:caps w:val="0"/>
          <w:color w:val="000000" w:themeColor="text1"/>
          <w:sz w:val="32"/>
          <w:szCs w:val="32"/>
          <w:highlight w:val="none"/>
          <w:lang w:val="en-US" w:eastAsia="zh-CN"/>
          <w14:textFill>
            <w14:solidFill>
              <w14:schemeClr w14:val="tx1"/>
            </w14:solidFill>
          </w14:textFill>
        </w:rPr>
        <w:t>100</w:t>
      </w:r>
      <w:r>
        <w:rPr>
          <w:rStyle w:val="17"/>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公务接待费支出决算比</w:t>
      </w:r>
      <w:r>
        <w:rPr>
          <w:rFonts w:hint="eastAsia" w:cs="仿宋_GB2312"/>
          <w:caps w:val="0"/>
          <w:color w:val="000000" w:themeColor="text1"/>
          <w:sz w:val="32"/>
          <w:szCs w:val="32"/>
          <w:highlight w:val="none"/>
          <w:lang w:eastAsia="zh-CN"/>
          <w14:textFill>
            <w14:solidFill>
              <w14:schemeClr w14:val="tx1"/>
            </w14:solidFill>
          </w14:textFill>
        </w:rPr>
        <w:t>上年度减少</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0.0</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下降</w:t>
      </w:r>
      <w:r>
        <w:rPr>
          <w:rFonts w:hint="eastAsia" w:cs="仿宋_GB2312"/>
          <w:caps w:val="0"/>
          <w:color w:val="000000" w:themeColor="text1"/>
          <w:sz w:val="32"/>
          <w:szCs w:val="32"/>
          <w:highlight w:val="none"/>
          <w:lang w:val="en-US" w:eastAsia="zh-CN"/>
          <w14:textFill>
            <w14:solidFill>
              <w14:schemeClr w14:val="tx1"/>
            </w14:solidFill>
          </w14:textFill>
        </w:rPr>
        <w:t>5.05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%。主要原因是</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接待人次略有增加</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。其中：</w:t>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国内公务接待支出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0.9</w:t>
      </w:r>
      <w:r>
        <w:rPr>
          <w:rFonts w:hint="eastAsia"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主要用于</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省委党校、其他地方党校等来我市调研、考察、交流学习等</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开支的用餐费。国内公务接待</w:t>
      </w:r>
      <w:r>
        <w:rPr>
          <w:rFonts w:hint="eastAsia" w:cs="仿宋_GB2312"/>
          <w:caps w:val="0"/>
          <w:color w:val="000000" w:themeColor="text1"/>
          <w:sz w:val="32"/>
          <w:szCs w:val="32"/>
          <w:highlight w:val="none"/>
          <w:lang w:val="en-US" w:eastAsia="zh-CN"/>
          <w14:textFill>
            <w14:solidFill>
              <w14:schemeClr w14:val="tx1"/>
            </w14:solidFill>
          </w14:textFill>
        </w:rPr>
        <w:t>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批次，</w:t>
      </w:r>
      <w:r>
        <w:rPr>
          <w:rFonts w:hint="eastAsia" w:cs="仿宋_GB2312"/>
          <w:caps w:val="0"/>
          <w:color w:val="000000" w:themeColor="text1"/>
          <w:sz w:val="32"/>
          <w:szCs w:val="32"/>
          <w:highlight w:val="none"/>
          <w:lang w:val="en-US" w:eastAsia="zh-CN"/>
          <w14:textFill>
            <w14:solidFill>
              <w14:schemeClr w14:val="tx1"/>
            </w14:solidFill>
          </w14:textFill>
        </w:rPr>
        <w:t>78</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人次，共计支出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0.9</w:t>
      </w:r>
      <w:r>
        <w:rPr>
          <w:rFonts w:hint="eastAsia"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万元，具体内容包括：</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）接待省委党校在职研究生期末考试巡考人员，</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3人次，</w:t>
      </w:r>
      <w:r>
        <w:rPr>
          <w:rFonts w:hint="eastAsia" w:cs="仿宋_GB2312"/>
          <w:caps w:val="0"/>
          <w:color w:val="000000" w:themeColor="text1"/>
          <w:sz w:val="32"/>
          <w:szCs w:val="32"/>
          <w:highlight w:val="none"/>
          <w:lang w:val="en-US" w:eastAsia="zh-CN"/>
          <w14:textFill>
            <w14:solidFill>
              <w14:schemeClr w14:val="tx1"/>
            </w14:solidFill>
          </w14:textFill>
        </w:rPr>
        <w:t>400</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2</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w:t>
      </w:r>
      <w:r>
        <w:rPr>
          <w:rFonts w:hint="eastAsia" w:cs="仿宋_GB2312"/>
          <w:caps w:val="0"/>
          <w:color w:val="000000" w:themeColor="text1"/>
          <w:sz w:val="32"/>
          <w:szCs w:val="32"/>
          <w:highlight w:val="none"/>
          <w:lang w:eastAsia="zh-CN"/>
          <w14:textFill>
            <w14:solidFill>
              <w14:schemeClr w14:val="tx1"/>
            </w14:solidFill>
          </w14:textFill>
        </w:rPr>
        <w:t>广元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党校来校</w:t>
      </w:r>
      <w:r>
        <w:rPr>
          <w:rFonts w:hint="eastAsia" w:cs="仿宋_GB2312"/>
          <w:caps w:val="0"/>
          <w:color w:val="000000" w:themeColor="text1"/>
          <w:sz w:val="32"/>
          <w:szCs w:val="32"/>
          <w:highlight w:val="none"/>
          <w:lang w:eastAsia="zh-CN"/>
          <w14:textFill>
            <w14:solidFill>
              <w14:schemeClr w14:val="tx1"/>
            </w14:solidFill>
          </w14:textFill>
        </w:rPr>
        <w:t>考察</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学习，</w:t>
      </w:r>
      <w:r>
        <w:rPr>
          <w:rFonts w:hint="eastAsia" w:cs="仿宋_GB2312"/>
          <w:caps w:val="0"/>
          <w:color w:val="000000" w:themeColor="text1"/>
          <w:sz w:val="32"/>
          <w:szCs w:val="32"/>
          <w:highlight w:val="none"/>
          <w:lang w:val="en-US" w:eastAsia="zh-CN"/>
          <w14:textFill>
            <w14:solidFill>
              <w14:schemeClr w14:val="tx1"/>
            </w14:solidFill>
          </w14:textFill>
        </w:rPr>
        <w:t>13</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人次，1</w:t>
      </w:r>
      <w:r>
        <w:rPr>
          <w:rFonts w:hint="eastAsia" w:cs="仿宋_GB2312"/>
          <w:caps w:val="0"/>
          <w:color w:val="000000" w:themeColor="text1"/>
          <w:sz w:val="32"/>
          <w:szCs w:val="32"/>
          <w:highlight w:val="none"/>
          <w:lang w:val="en-US" w:eastAsia="zh-CN"/>
          <w14:textFill>
            <w14:solidFill>
              <w14:schemeClr w14:val="tx1"/>
            </w14:solidFill>
          </w14:textFill>
        </w:rPr>
        <w:t>87</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3</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）接待重庆</w:t>
      </w:r>
      <w:r>
        <w:rPr>
          <w:rFonts w:hint="eastAsia" w:cs="仿宋_GB2312"/>
          <w:caps w:val="0"/>
          <w:color w:val="000000" w:themeColor="text1"/>
          <w:sz w:val="32"/>
          <w:szCs w:val="32"/>
          <w:highlight w:val="none"/>
          <w:lang w:eastAsia="zh-CN"/>
          <w14:textFill>
            <w14:solidFill>
              <w14:schemeClr w14:val="tx1"/>
            </w14:solidFill>
          </w14:textFill>
        </w:rPr>
        <w:t>南川</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区委党校来校考察学习，</w:t>
      </w:r>
      <w:r>
        <w:rPr>
          <w:rFonts w:hint="eastAsia" w:cs="仿宋_GB2312"/>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8人次，</w:t>
      </w:r>
      <w:r>
        <w:rPr>
          <w:rFonts w:hint="eastAsia" w:cs="仿宋_GB2312"/>
          <w:caps w:val="0"/>
          <w:color w:val="000000" w:themeColor="text1"/>
          <w:sz w:val="32"/>
          <w:szCs w:val="32"/>
          <w:highlight w:val="none"/>
          <w:lang w:val="en-US" w:eastAsia="zh-CN"/>
          <w14:textFill>
            <w14:solidFill>
              <w14:schemeClr w14:val="tx1"/>
            </w14:solidFill>
          </w14:textFill>
        </w:rPr>
        <w:t>253</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w:t>
      </w:r>
      <w:r>
        <w:rPr>
          <w:rFonts w:hint="eastAsia" w:cs="仿宋_GB2312"/>
          <w:caps w:val="0"/>
          <w:color w:val="000000" w:themeColor="text1"/>
          <w:sz w:val="32"/>
          <w:szCs w:val="32"/>
          <w:highlight w:val="none"/>
          <w:lang w:eastAsia="zh-CN"/>
          <w14:textFill>
            <w14:solidFill>
              <w14:schemeClr w14:val="tx1"/>
            </w14:solidFill>
          </w14:textFill>
        </w:rPr>
        <w:t>泸州市委</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党校来校</w:t>
      </w:r>
      <w:r>
        <w:rPr>
          <w:rFonts w:hint="eastAsia" w:cs="仿宋_GB2312"/>
          <w:caps w:val="0"/>
          <w:color w:val="000000" w:themeColor="text1"/>
          <w:sz w:val="32"/>
          <w:szCs w:val="32"/>
          <w:highlight w:val="none"/>
          <w:lang w:eastAsia="zh-CN"/>
          <w14:textFill>
            <w14:solidFill>
              <w14:schemeClr w14:val="tx1"/>
            </w14:solidFill>
          </w14:textFill>
        </w:rPr>
        <w:t>考察</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学习，</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人次，880元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）接待省委党校到自贡调研，</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4人次，1050元；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6</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）接待陕西省委党校到自贡调研，</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4人次，1050元；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7</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）接待省委党校到自贡调研，</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8人次，1650元</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spacing w:line="600" w:lineRule="exact"/>
        <w:ind w:firstLine="640" w:firstLineChars="200"/>
        <w:rPr>
          <w:rFonts w:ascii="Times New Roman" w:hAnsi="Times New Roman" w:eastAsia="黑体"/>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外事接待支出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外事接待</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批次，</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人</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，共计支出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bookmarkStart w:id="37" w:name="_Toc15396610"/>
      <w:bookmarkStart w:id="38" w:name="_Toc15377218"/>
    </w:p>
    <w:p>
      <w:pPr>
        <w:spacing w:line="600" w:lineRule="exact"/>
        <w:ind w:firstLine="640"/>
        <w:outlineLvl w:val="1"/>
        <w:rPr>
          <w:rStyle w:val="20"/>
          <w:rFonts w:ascii="Times New Roman" w:hAnsi="Times New Roman" w:eastAsia="黑体"/>
          <w:caps w:val="0"/>
          <w:color w:val="000000" w:themeColor="text1"/>
          <w14:textFill>
            <w14:solidFill>
              <w14:schemeClr w14:val="tx1"/>
            </w14:solidFill>
          </w14:textFill>
        </w:rPr>
      </w:pPr>
      <w:bookmarkStart w:id="39" w:name="_Toc31714"/>
      <w:r>
        <w:rPr>
          <w:rFonts w:hint="eastAsia" w:ascii="Times New Roman" w:hAnsi="Times New Roman" w:eastAsia="黑体"/>
          <w:caps w:val="0"/>
          <w:color w:val="000000" w:themeColor="text1"/>
          <w:sz w:val="32"/>
          <w:szCs w:val="32"/>
          <w14:textFill>
            <w14:solidFill>
              <w14:schemeClr w14:val="tx1"/>
            </w14:solidFill>
          </w14:textFill>
        </w:rPr>
        <w:t>八、</w:t>
      </w:r>
      <w:r>
        <w:rPr>
          <w:rStyle w:val="20"/>
          <w:rFonts w:hint="eastAsia" w:ascii="Times New Roman" w:hAnsi="Times New Roman" w:eastAsia="黑体"/>
          <w:b w:val="0"/>
          <w:caps w:val="0"/>
          <w:color w:val="000000" w:themeColor="text1"/>
          <w14:textFill>
            <w14:solidFill>
              <w14:schemeClr w14:val="tx1"/>
            </w14:solidFill>
          </w14:textFill>
        </w:rPr>
        <w:t>政府性基金预算支出决算情况说明</w:t>
      </w:r>
      <w:bookmarkEnd w:id="37"/>
      <w:bookmarkEnd w:id="38"/>
      <w:bookmarkEnd w:id="39"/>
    </w:p>
    <w:p>
      <w:pPr>
        <w:spacing w:line="600" w:lineRule="exact"/>
        <w:ind w:firstLine="640"/>
        <w:rPr>
          <w:rFonts w:hint="default" w:ascii="Times New Roman" w:hAnsi="Times New Roman" w:eastAsia="仿宋_GB2312" w:cs="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政府性基金预算</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财政</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拨款支出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与</w:t>
      </w:r>
      <w:r>
        <w:rPr>
          <w:rFonts w:hint="eastAsia" w:cs="仿宋_GB2312"/>
          <w:caps w:val="0"/>
          <w:color w:val="000000" w:themeColor="text1"/>
          <w:sz w:val="32"/>
          <w:szCs w:val="32"/>
          <w:highlight w:val="none"/>
          <w:lang w:val="en-US" w:eastAsia="zh-CN"/>
          <w14:textFill>
            <w14:solidFill>
              <w14:schemeClr w14:val="tx1"/>
            </w14:solidFill>
          </w14:textFill>
        </w:rPr>
        <w:t>上年度持平。</w:t>
      </w:r>
    </w:p>
    <w:p>
      <w:pPr>
        <w:numPr>
          <w:ilvl w:val="0"/>
          <w:numId w:val="2"/>
        </w:numPr>
        <w:spacing w:line="600" w:lineRule="exact"/>
        <w:ind w:firstLine="640"/>
        <w:outlineLvl w:val="1"/>
        <w:rPr>
          <w:rStyle w:val="20"/>
          <w:rFonts w:ascii="Times New Roman" w:hAnsi="Times New Roman" w:eastAsia="黑体"/>
          <w:b w:val="0"/>
          <w:caps w:val="0"/>
          <w:color w:val="000000" w:themeColor="text1"/>
          <w14:textFill>
            <w14:solidFill>
              <w14:schemeClr w14:val="tx1"/>
            </w14:solidFill>
          </w14:textFill>
        </w:rPr>
      </w:pPr>
      <w:bookmarkStart w:id="40" w:name="_Toc12385"/>
      <w:bookmarkStart w:id="41" w:name="_Toc15377219"/>
      <w:bookmarkStart w:id="42" w:name="_Toc15396611"/>
      <w:r>
        <w:rPr>
          <w:rStyle w:val="20"/>
          <w:rFonts w:hint="eastAsia" w:ascii="Times New Roman" w:hAnsi="Times New Roman" w:eastAsia="黑体"/>
          <w:b w:val="0"/>
          <w:caps w:val="0"/>
          <w:color w:val="000000" w:themeColor="text1"/>
          <w14:textFill>
            <w14:solidFill>
              <w14:schemeClr w14:val="tx1"/>
            </w14:solidFill>
          </w14:textFill>
        </w:rPr>
        <w:t>国有资本经营预算支出决算情况说明</w:t>
      </w:r>
      <w:bookmarkEnd w:id="40"/>
      <w:bookmarkEnd w:id="41"/>
      <w:bookmarkEnd w:id="42"/>
    </w:p>
    <w:p>
      <w:pPr>
        <w:spacing w:line="600" w:lineRule="exact"/>
        <w:ind w:firstLine="640"/>
        <w:rPr>
          <w:rFonts w:ascii="Times New Roman" w:hAnsi="Times New Roman" w:eastAsia="方正小标宋简体" w:cs="方正小标宋简体"/>
          <w:caps w:val="0"/>
          <w:color w:val="000000" w:themeColor="text1"/>
          <w:sz w:val="44"/>
          <w:szCs w:val="44"/>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国有资本经营预算</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财政</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拨款支出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与</w:t>
      </w:r>
      <w:r>
        <w:rPr>
          <w:rFonts w:hint="eastAsia" w:cs="仿宋_GB2312"/>
          <w:caps w:val="0"/>
          <w:color w:val="000000" w:themeColor="text1"/>
          <w:sz w:val="32"/>
          <w:szCs w:val="32"/>
          <w:highlight w:val="none"/>
          <w:lang w:val="en-US" w:eastAsia="zh-CN"/>
          <w14:textFill>
            <w14:solidFill>
              <w14:schemeClr w14:val="tx1"/>
            </w14:solidFill>
          </w14:textFill>
        </w:rPr>
        <w:t>上年度持平。</w:t>
      </w:r>
    </w:p>
    <w:p>
      <w:pPr>
        <w:spacing w:line="600" w:lineRule="exact"/>
        <w:ind w:firstLine="800" w:firstLineChars="250"/>
        <w:outlineLvl w:val="1"/>
        <w:rPr>
          <w:rStyle w:val="20"/>
          <w:rFonts w:ascii="Times New Roman" w:hAnsi="Times New Roman" w:eastAsia="黑体"/>
          <w:caps w:val="0"/>
          <w:color w:val="000000" w:themeColor="text1"/>
          <w14:textFill>
            <w14:solidFill>
              <w14:schemeClr w14:val="tx1"/>
            </w14:solidFill>
          </w14:textFill>
        </w:rPr>
      </w:pPr>
      <w:bookmarkStart w:id="43" w:name="_Toc15377221"/>
      <w:bookmarkStart w:id="44" w:name="_Toc15396612"/>
      <w:bookmarkStart w:id="45" w:name="_Toc30095"/>
      <w:r>
        <w:rPr>
          <w:rFonts w:hint="eastAsia" w:ascii="Times New Roman" w:hAnsi="Times New Roman" w:eastAsia="黑体"/>
          <w:caps w:val="0"/>
          <w:color w:val="000000" w:themeColor="text1"/>
          <w:sz w:val="32"/>
          <w:szCs w:val="32"/>
          <w14:textFill>
            <w14:solidFill>
              <w14:schemeClr w14:val="tx1"/>
            </w14:solidFill>
          </w14:textFill>
        </w:rPr>
        <w:t>十</w:t>
      </w:r>
      <w:r>
        <w:rPr>
          <w:rStyle w:val="20"/>
          <w:rFonts w:hint="eastAsia" w:ascii="Times New Roman" w:hAnsi="Times New Roman" w:eastAsia="黑体"/>
          <w:caps w:val="0"/>
          <w:color w:val="000000" w:themeColor="text1"/>
          <w14:textFill>
            <w14:solidFill>
              <w14:schemeClr w14:val="tx1"/>
            </w14:solidFill>
          </w14:textFill>
        </w:rPr>
        <w:t>、</w:t>
      </w:r>
      <w:r>
        <w:rPr>
          <w:rStyle w:val="20"/>
          <w:rFonts w:hint="eastAsia" w:ascii="Times New Roman" w:hAnsi="Times New Roman" w:eastAsia="黑体"/>
          <w:b w:val="0"/>
          <w:caps w:val="0"/>
          <w:color w:val="000000" w:themeColor="text1"/>
          <w14:textFill>
            <w14:solidFill>
              <w14:schemeClr w14:val="tx1"/>
            </w14:solidFill>
          </w14:textFill>
        </w:rPr>
        <w:t>其他重要事项的情况说明</w:t>
      </w:r>
      <w:bookmarkEnd w:id="43"/>
      <w:bookmarkEnd w:id="44"/>
      <w:bookmarkEnd w:id="45"/>
    </w:p>
    <w:p>
      <w:pPr>
        <w:spacing w:line="600" w:lineRule="exact"/>
        <w:ind w:firstLine="643" w:firstLineChars="200"/>
        <w:outlineLvl w:val="2"/>
        <w:rPr>
          <w:rFonts w:hint="eastAsia" w:ascii="Times New Roman" w:hAnsi="Times New Roman" w:eastAsia="仿宋_GB2312" w:cs="仿宋_GB2312"/>
          <w:caps w:val="0"/>
          <w:color w:val="000000" w:themeColor="text1"/>
          <w:sz w:val="32"/>
          <w:szCs w:val="32"/>
          <w14:textFill>
            <w14:solidFill>
              <w14:schemeClr w14:val="tx1"/>
            </w14:solidFill>
          </w14:textFill>
        </w:rPr>
      </w:pPr>
      <w:bookmarkStart w:id="46" w:name="_Toc15377222"/>
      <w:r>
        <w:rPr>
          <w:rFonts w:hint="eastAsia" w:ascii="Times New Roman" w:hAnsi="Times New Roman" w:eastAsia="仿宋_GB2312" w:cs="仿宋_GB2312"/>
          <w:b/>
          <w:caps w:val="0"/>
          <w:color w:val="000000" w:themeColor="text1"/>
          <w:sz w:val="32"/>
          <w:szCs w:val="32"/>
          <w14:textFill>
            <w14:solidFill>
              <w14:schemeClr w14:val="tx1"/>
            </w14:solidFill>
          </w14:textFill>
        </w:rPr>
        <w:t>（一）机关运行经费支出情况</w:t>
      </w:r>
      <w:bookmarkEnd w:id="46"/>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机关运行经费支出</w:t>
      </w:r>
      <w:r>
        <w:rPr>
          <w:rFonts w:hint="eastAsia" w:cs="仿宋_GB2312"/>
          <w:caps w:val="0"/>
          <w:color w:val="000000" w:themeColor="text1"/>
          <w:sz w:val="32"/>
          <w:szCs w:val="32"/>
          <w:highlight w:val="none"/>
          <w:lang w:val="en-US" w:eastAsia="zh-CN"/>
          <w14:textFill>
            <w14:solidFill>
              <w14:schemeClr w14:val="tx1"/>
            </w14:solidFill>
          </w14:textFill>
        </w:rPr>
        <w:t>195.2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万元，比</w:t>
      </w:r>
      <w:r>
        <w:rPr>
          <w:rFonts w:hint="eastAsia" w:cs="仿宋_GB2312"/>
          <w:caps w:val="0"/>
          <w:color w:val="000000" w:themeColor="text1"/>
          <w:sz w:val="32"/>
          <w:szCs w:val="32"/>
          <w:highlight w:val="none"/>
          <w:lang w:eastAsia="zh-CN"/>
          <w14:textFill>
            <w14:solidFill>
              <w14:schemeClr w14:val="tx1"/>
            </w14:solidFill>
          </w14:textFill>
        </w:rPr>
        <w:t>上年度增加</w:t>
      </w:r>
      <w:r>
        <w:rPr>
          <w:rFonts w:hint="eastAsia" w:cs="仿宋_GB2312"/>
          <w:caps w:val="0"/>
          <w:color w:val="000000" w:themeColor="text1"/>
          <w:sz w:val="32"/>
          <w:szCs w:val="32"/>
          <w:highlight w:val="none"/>
          <w:lang w:val="en-US" w:eastAsia="zh-CN"/>
          <w14:textFill>
            <w14:solidFill>
              <w14:schemeClr w14:val="tx1"/>
            </w14:solidFill>
          </w14:textFill>
        </w:rPr>
        <w:t>5.97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增长</w:t>
      </w:r>
      <w:r>
        <w:rPr>
          <w:rFonts w:hint="eastAsia" w:cs="仿宋_GB2312"/>
          <w:caps w:val="0"/>
          <w:color w:val="000000" w:themeColor="text1"/>
          <w:sz w:val="32"/>
          <w:szCs w:val="32"/>
          <w:highlight w:val="none"/>
          <w:lang w:val="en-US" w:eastAsia="zh-CN"/>
          <w14:textFill>
            <w14:solidFill>
              <w14:schemeClr w14:val="tx1"/>
            </w14:solidFill>
          </w14:textFill>
        </w:rPr>
        <w:t>3.16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%。主要原因是</w:t>
      </w:r>
      <w:r>
        <w:rPr>
          <w:rFonts w:hint="eastAsia" w:cs="仿宋_GB2312"/>
          <w:caps w:val="0"/>
          <w:color w:val="000000" w:themeColor="text1"/>
          <w:sz w:val="32"/>
          <w:szCs w:val="32"/>
          <w:highlight w:val="none"/>
          <w:lang w:eastAsia="zh-CN"/>
          <w14:textFill>
            <w14:solidFill>
              <w14:schemeClr w14:val="tx1"/>
            </w14:solidFill>
          </w14:textFill>
        </w:rPr>
        <w:t>预算基数变化增加的机关运行经费</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w:t>
      </w:r>
    </w:p>
    <w:p>
      <w:pPr>
        <w:autoSpaceDE w:val="0"/>
        <w:autoSpaceDN w:val="0"/>
        <w:adjustRightInd w:val="0"/>
        <w:spacing w:line="600" w:lineRule="exact"/>
        <w:ind w:firstLine="643" w:firstLineChars="200"/>
        <w:jc w:val="left"/>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bookmarkStart w:id="47" w:name="_Toc15377223"/>
      <w:r>
        <w:rPr>
          <w:rFonts w:hint="eastAsia" w:ascii="Times New Roman" w:hAnsi="Times New Roman" w:eastAsia="仿宋_GB2312" w:cs="仿宋_GB2312"/>
          <w:b/>
          <w:caps w:val="0"/>
          <w:color w:val="000000" w:themeColor="text1"/>
          <w:sz w:val="32"/>
          <w:szCs w:val="32"/>
          <w14:textFill>
            <w14:solidFill>
              <w14:schemeClr w14:val="tx1"/>
            </w14:solidFill>
          </w14:textFill>
        </w:rPr>
        <w:t>（二）政府采购支出情况</w:t>
      </w:r>
      <w:bookmarkEnd w:id="47"/>
    </w:p>
    <w:p>
      <w:pPr>
        <w:spacing w:line="600" w:lineRule="exact"/>
        <w:ind w:firstLine="640" w:firstLineChars="20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政府采购支出总额</w:t>
      </w:r>
      <w:r>
        <w:rPr>
          <w:rFonts w:hint="eastAsia" w:cs="仿宋_GB2312"/>
          <w:caps w:val="0"/>
          <w:color w:val="000000" w:themeColor="text1"/>
          <w:sz w:val="32"/>
          <w:szCs w:val="32"/>
          <w:highlight w:val="none"/>
          <w:lang w:val="en-US" w:eastAsia="zh-CN"/>
          <w14:textFill>
            <w14:solidFill>
              <w14:schemeClr w14:val="tx1"/>
            </w14:solidFill>
          </w14:textFill>
        </w:rPr>
        <w:t>132.82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万元，其中：政府采购货物支出</w:t>
      </w:r>
      <w:r>
        <w:rPr>
          <w:rFonts w:hint="eastAsia" w:cs="仿宋_GB2312"/>
          <w:caps w:val="0"/>
          <w:color w:val="000000" w:themeColor="text1"/>
          <w:sz w:val="32"/>
          <w:szCs w:val="32"/>
          <w:highlight w:val="none"/>
          <w:lang w:val="en-US" w:eastAsia="zh-CN"/>
          <w14:textFill>
            <w14:solidFill>
              <w14:schemeClr w14:val="tx1"/>
            </w14:solidFill>
          </w14:textFill>
        </w:rPr>
        <w:t>71.07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万元、政府采购工程支出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万元、政府采购服务支出</w:t>
      </w:r>
      <w:r>
        <w:rPr>
          <w:rFonts w:hint="eastAsia" w:cs="仿宋_GB2312"/>
          <w:caps w:val="0"/>
          <w:color w:val="000000" w:themeColor="text1"/>
          <w:sz w:val="32"/>
          <w:szCs w:val="32"/>
          <w:highlight w:val="none"/>
          <w:lang w:val="en-US" w:eastAsia="zh-CN"/>
          <w14:textFill>
            <w14:solidFill>
              <w14:schemeClr w14:val="tx1"/>
            </w14:solidFill>
          </w14:textFill>
        </w:rPr>
        <w:t>61.75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万元。主要用于</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采购办公设备、物业管理、汽车维修、加油、保险等</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。授予中小企业合同金额</w:t>
      </w:r>
      <w:r>
        <w:rPr>
          <w:rFonts w:hint="eastAsia" w:cs="仿宋_GB2312"/>
          <w:caps w:val="0"/>
          <w:color w:val="000000" w:themeColor="text1"/>
          <w:sz w:val="32"/>
          <w:szCs w:val="32"/>
          <w:highlight w:val="none"/>
          <w:lang w:val="en-US" w:eastAsia="zh-CN"/>
          <w14:textFill>
            <w14:solidFill>
              <w14:schemeClr w14:val="tx1"/>
            </w14:solidFill>
          </w14:textFill>
        </w:rPr>
        <w:t>77.4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万元，占政府采购支出总额的</w:t>
      </w:r>
      <w:r>
        <w:rPr>
          <w:rFonts w:hint="eastAsia" w:cs="仿宋_GB2312"/>
          <w:caps w:val="0"/>
          <w:color w:val="000000" w:themeColor="text1"/>
          <w:sz w:val="32"/>
          <w:szCs w:val="32"/>
          <w:highlight w:val="none"/>
          <w:lang w:val="en-US" w:eastAsia="zh-CN"/>
          <w14:textFill>
            <w14:solidFill>
              <w14:schemeClr w14:val="tx1"/>
            </w14:solidFill>
          </w14:textFill>
        </w:rPr>
        <w:t>58.27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%，其中：授予小微企业合同金额</w:t>
      </w:r>
      <w:r>
        <w:rPr>
          <w:rFonts w:hint="eastAsia" w:cs="仿宋_GB2312"/>
          <w:caps w:val="0"/>
          <w:color w:val="000000" w:themeColor="text1"/>
          <w:sz w:val="32"/>
          <w:szCs w:val="32"/>
          <w:highlight w:val="none"/>
          <w:lang w:val="en-US" w:eastAsia="zh-CN"/>
          <w14:textFill>
            <w14:solidFill>
              <w14:schemeClr w14:val="tx1"/>
            </w14:solidFill>
          </w14:textFill>
        </w:rPr>
        <w:t>0.91</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万元，占政府采购支出总额的</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cs="仿宋_GB2312"/>
          <w:caps w:val="0"/>
          <w:color w:val="000000" w:themeColor="text1"/>
          <w:sz w:val="32"/>
          <w:szCs w:val="32"/>
          <w:highlight w:val="none"/>
          <w:lang w:val="en-US" w:eastAsia="zh-CN"/>
          <w14:textFill>
            <w14:solidFill>
              <w14:schemeClr w14:val="tx1"/>
            </w14:solidFill>
          </w14:textFill>
        </w:rPr>
        <w:t>69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autoSpaceDE w:val="0"/>
        <w:autoSpaceDN w:val="0"/>
        <w:adjustRightInd w:val="0"/>
        <w:spacing w:line="600" w:lineRule="exact"/>
        <w:ind w:firstLine="643" w:firstLineChars="200"/>
        <w:jc w:val="left"/>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bookmarkStart w:id="48" w:name="_Toc15377224"/>
      <w:r>
        <w:rPr>
          <w:rFonts w:hint="eastAsia" w:ascii="Times New Roman" w:hAnsi="Times New Roman" w:eastAsia="仿宋_GB2312" w:cs="仿宋_GB2312"/>
          <w:b/>
          <w:caps w:val="0"/>
          <w:color w:val="000000" w:themeColor="text1"/>
          <w:sz w:val="32"/>
          <w:szCs w:val="32"/>
          <w14:textFill>
            <w14:solidFill>
              <w14:schemeClr w14:val="tx1"/>
            </w14:solidFill>
          </w14:textFill>
        </w:rPr>
        <w:t>（三）国有资产占有使用情况</w:t>
      </w:r>
      <w:bookmarkEnd w:id="48"/>
    </w:p>
    <w:p>
      <w:pPr>
        <w:autoSpaceDE w:val="0"/>
        <w:autoSpaceDN w:val="0"/>
        <w:adjustRightInd w:val="0"/>
        <w:spacing w:line="600" w:lineRule="exact"/>
        <w:ind w:firstLine="640" w:firstLineChars="200"/>
        <w:jc w:val="left"/>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截至</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年</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12月31日，</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共有车辆</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辆，其中：</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副部（省）级及以上领导用车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辆、主要</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负责人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辆、机要通信用车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辆、应急保障用车</w:t>
      </w:r>
      <w:r>
        <w:rPr>
          <w:rFonts w:hint="eastAsia" w:cs="仿宋_GB2312"/>
          <w:color w:val="000000" w:themeColor="text1"/>
          <w:kern w:val="2"/>
          <w:sz w:val="32"/>
          <w:szCs w:val="32"/>
          <w:highlight w:val="none"/>
          <w:lang w:val="en-US" w:eastAsia="zh-CN" w:bidi="ar-SA"/>
          <w14:textFill>
            <w14:solidFill>
              <w14:schemeClr w14:val="tx1"/>
            </w14:solidFill>
          </w14:textFill>
        </w:rPr>
        <w:t>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辆、执法执勤用车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辆、特种专业技术用车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辆、离退休干部服务用车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辆、其他用车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单价100万元以上设备</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台。</w:t>
      </w:r>
    </w:p>
    <w:p>
      <w:pPr>
        <w:autoSpaceDE w:val="0"/>
        <w:autoSpaceDN w:val="0"/>
        <w:adjustRightInd w:val="0"/>
        <w:spacing w:line="600" w:lineRule="exact"/>
        <w:ind w:firstLine="643" w:firstLineChars="200"/>
        <w:jc w:val="left"/>
        <w:outlineLvl w:val="2"/>
        <w:rPr>
          <w:rFonts w:hint="eastAsia" w:ascii="Times New Roman" w:hAnsi="Times New Roman" w:eastAsia="仿宋_GB2312" w:cs="仿宋_GB2312"/>
          <w:b/>
          <w:caps w:val="0"/>
          <w:color w:val="000000"/>
          <w:sz w:val="32"/>
          <w:szCs w:val="32"/>
        </w:rPr>
      </w:pPr>
      <w:r>
        <w:rPr>
          <w:rFonts w:hint="eastAsia" w:ascii="Times New Roman" w:hAnsi="Times New Roman" w:eastAsia="仿宋_GB2312" w:cs="仿宋_GB2312"/>
          <w:b/>
          <w:caps w:val="0"/>
          <w:color w:val="000000"/>
          <w:sz w:val="32"/>
          <w:szCs w:val="32"/>
        </w:rPr>
        <w:t>（四）预算绩效管理情况</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根据预算绩效管理要求，本</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单位</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在202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年度，</w:t>
      </w:r>
      <w:r>
        <w:rPr>
          <w:rFonts w:hint="eastAsia" w:cs="仿宋_GB2312"/>
          <w:caps w:val="0"/>
          <w:color w:val="000000" w:themeColor="text1"/>
          <w:sz w:val="32"/>
          <w:szCs w:val="32"/>
          <w:highlight w:val="none"/>
          <w:lang w:eastAsia="zh-CN"/>
          <w14:textFill>
            <w14:solidFill>
              <w14:schemeClr w14:val="tx1"/>
            </w14:solidFill>
          </w14:textFill>
        </w:rPr>
        <w:t>组织</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对</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市委党校后勤保障工作经费、市委党校运行维护工作经费（财政专户管理资金）</w:t>
      </w:r>
      <w:r>
        <w:rPr>
          <w:rFonts w:hint="eastAsia" w:cs="仿宋_GB2312"/>
          <w:caps w:val="0"/>
          <w:color w:val="000000" w:themeColor="text1"/>
          <w:sz w:val="32"/>
          <w:szCs w:val="32"/>
          <w:highlight w:val="none"/>
          <w:lang w:eastAsia="zh-CN"/>
          <w14:textFill>
            <w14:solidFill>
              <w14:schemeClr w14:val="tx1"/>
            </w14:solidFill>
          </w14:textFill>
        </w:rPr>
        <w:t>等</w:t>
      </w:r>
      <w:r>
        <w:rPr>
          <w:rFonts w:hint="eastAsia"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个项目</w:t>
      </w:r>
      <w:r>
        <w:rPr>
          <w:rFonts w:hint="eastAsia" w:cs="仿宋_GB2312"/>
          <w:caps w:val="0"/>
          <w:color w:val="000000" w:themeColor="text1"/>
          <w:sz w:val="32"/>
          <w:szCs w:val="32"/>
          <w:highlight w:val="none"/>
          <w:lang w:eastAsia="zh-CN"/>
          <w14:textFill>
            <w14:solidFill>
              <w14:schemeClr w14:val="tx1"/>
            </w14:solidFill>
          </w14:textFill>
        </w:rPr>
        <w:t>涉及金额</w:t>
      </w:r>
      <w:r>
        <w:rPr>
          <w:rFonts w:hint="eastAsia" w:cs="仿宋_GB2312"/>
          <w:caps w:val="0"/>
          <w:color w:val="000000" w:themeColor="text1"/>
          <w:sz w:val="32"/>
          <w:szCs w:val="32"/>
          <w:highlight w:val="none"/>
          <w:lang w:val="en-US" w:eastAsia="zh-CN"/>
          <w14:textFill>
            <w14:solidFill>
              <w14:schemeClr w14:val="tx1"/>
            </w14:solidFill>
          </w14:textFill>
        </w:rPr>
        <w:t>1340.55</w:t>
      </w:r>
      <w:r>
        <w:rPr>
          <w:rFonts w:hint="eastAsia" w:cs="仿宋_GB2312"/>
          <w:caps w:val="0"/>
          <w:color w:val="000000" w:themeColor="text1"/>
          <w:sz w:val="32"/>
          <w:szCs w:val="32"/>
          <w:highlight w:val="none"/>
          <w:lang w:eastAsia="zh-CN"/>
          <w14:textFill>
            <w14:solidFill>
              <w14:schemeClr w14:val="tx1"/>
            </w14:solidFill>
          </w14:textFill>
        </w:rPr>
        <w:t>万元</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开展了事前绩效评估，对</w:t>
      </w:r>
      <w:r>
        <w:rPr>
          <w:rFonts w:hint="eastAsia" w:cs="仿宋_GB2312"/>
          <w:caps w:val="0"/>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个项目编制了绩效目标，预算执行过程中，选取</w:t>
      </w:r>
      <w:r>
        <w:rPr>
          <w:rFonts w:hint="eastAsia" w:cs="仿宋_GB2312"/>
          <w:caps w:val="0"/>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个项目开展绩效监控</w:t>
      </w:r>
      <w:r>
        <w:rPr>
          <w:rFonts w:hint="eastAsia" w:ascii="Times New Roman" w:hAnsi="Times New Roman" w:eastAsia="仿宋_GB2312" w:cs="仿宋_GB2312"/>
          <w:caps w:val="0"/>
          <w:color w:val="auto"/>
          <w:sz w:val="32"/>
          <w:szCs w:val="32"/>
          <w:highlight w:val="none"/>
        </w:rPr>
        <w:t>，组织对</w:t>
      </w:r>
      <w:r>
        <w:rPr>
          <w:rFonts w:hint="eastAsia" w:cs="仿宋_GB2312"/>
          <w:caps w:val="0"/>
          <w:color w:val="auto"/>
          <w:sz w:val="32"/>
          <w:szCs w:val="32"/>
          <w:highlight w:val="none"/>
          <w:lang w:val="en-US" w:eastAsia="zh-CN"/>
        </w:rPr>
        <w:t>9</w:t>
      </w:r>
      <w:r>
        <w:rPr>
          <w:rFonts w:hint="eastAsia" w:ascii="Times New Roman" w:hAnsi="Times New Roman" w:eastAsia="仿宋_GB2312" w:cs="仿宋_GB2312"/>
          <w:caps w:val="0"/>
          <w:color w:val="auto"/>
          <w:sz w:val="32"/>
          <w:szCs w:val="32"/>
          <w:highlight w:val="none"/>
        </w:rPr>
        <w:t>个项目开展绩效自评，绩效自评表详见</w:t>
      </w:r>
      <w:r>
        <w:rPr>
          <w:rFonts w:hint="eastAsia" w:ascii="Times New Roman" w:hAnsi="Times New Roman" w:cs="仿宋_GB2312"/>
          <w:caps w:val="0"/>
          <w:color w:val="auto"/>
          <w:sz w:val="32"/>
          <w:szCs w:val="32"/>
          <w:highlight w:val="none"/>
          <w:lang w:eastAsia="zh-CN"/>
        </w:rPr>
        <w:t>第四部分</w:t>
      </w:r>
      <w:r>
        <w:rPr>
          <w:rFonts w:hint="eastAsia" w:ascii="Times New Roman" w:hAnsi="Times New Roman" w:eastAsia="仿宋_GB2312" w:cs="仿宋_GB2312"/>
          <w:caps w:val="0"/>
          <w:color w:val="auto"/>
          <w:sz w:val="32"/>
          <w:szCs w:val="32"/>
          <w:highlight w:val="none"/>
        </w:rPr>
        <w:t>附件</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spacing w:line="580" w:lineRule="exact"/>
        <w:ind w:firstLine="640" w:firstLineChars="200"/>
        <w:rPr>
          <w:rFonts w:ascii="Times New Roman" w:hAnsi="Times New Roman" w:eastAsia="仿宋_GB2312" w:cs="仿宋_GB2312"/>
          <w:caps w:val="0"/>
          <w:sz w:val="32"/>
          <w:szCs w:val="32"/>
        </w:rPr>
      </w:pPr>
    </w:p>
    <w:p>
      <w:pPr>
        <w:spacing w:line="580" w:lineRule="exact"/>
        <w:ind w:firstLine="640" w:firstLineChars="200"/>
        <w:rPr>
          <w:rFonts w:ascii="Times New Roman" w:hAnsi="Times New Roman" w:eastAsia="仿宋_GB2312" w:cs="仿宋_GB2312"/>
          <w:caps w:val="0"/>
          <w:sz w:val="32"/>
          <w:szCs w:val="32"/>
        </w:rPr>
      </w:pPr>
    </w:p>
    <w:p>
      <w:pPr>
        <w:spacing w:line="580" w:lineRule="exact"/>
        <w:ind w:firstLine="640" w:firstLineChars="200"/>
        <w:rPr>
          <w:rFonts w:ascii="Times New Roman" w:hAnsi="Times New Roman" w:eastAsia="仿宋_GB2312" w:cs="仿宋_GB2312"/>
          <w:caps w:val="0"/>
          <w:sz w:val="32"/>
          <w:szCs w:val="32"/>
        </w:rPr>
      </w:pPr>
    </w:p>
    <w:p>
      <w:pPr>
        <w:rPr>
          <w:rFonts w:ascii="Times New Roman" w:hAnsi="Times New Roman" w:eastAsia="仿宋_GB2312" w:cs="仿宋_GB2312"/>
          <w:caps w:val="0"/>
          <w:sz w:val="32"/>
          <w:szCs w:val="32"/>
        </w:rPr>
      </w:pPr>
    </w:p>
    <w:p>
      <w:pPr>
        <w:pStyle w:val="7"/>
        <w:rPr>
          <w:rFonts w:ascii="Times New Roman" w:hAnsi="Times New Roman"/>
          <w:caps w:val="0"/>
        </w:rPr>
      </w:pPr>
    </w:p>
    <w:p>
      <w:pPr>
        <w:rPr>
          <w:rStyle w:val="19"/>
          <w:rFonts w:ascii="Times New Roman" w:hAnsi="Times New Roman" w:eastAsia="黑体"/>
          <w:b w:val="0"/>
          <w:caps w:val="0"/>
        </w:rPr>
      </w:pPr>
      <w:bookmarkStart w:id="49" w:name="_Toc15377225"/>
      <w:bookmarkStart w:id="50" w:name="_Toc15396613"/>
      <w:r>
        <w:rPr>
          <w:rFonts w:hint="eastAsia" w:ascii="Times New Roman" w:hAnsi="Times New Roman" w:eastAsia="黑体"/>
          <w:caps w:val="0"/>
          <w:color w:val="000000"/>
          <w:sz w:val="44"/>
          <w:szCs w:val="44"/>
        </w:rPr>
        <w:br w:type="page"/>
      </w:r>
    </w:p>
    <w:p>
      <w:pPr>
        <w:numPr>
          <w:ilvl w:val="0"/>
          <w:numId w:val="3"/>
        </w:numPr>
        <w:spacing w:line="600" w:lineRule="exact"/>
        <w:ind w:firstLine="660" w:firstLineChars="150"/>
        <w:jc w:val="center"/>
        <w:outlineLvl w:val="0"/>
        <w:rPr>
          <w:rStyle w:val="19"/>
          <w:rFonts w:ascii="Times New Roman" w:hAnsi="Times New Roman" w:eastAsia="黑体"/>
          <w:b w:val="0"/>
          <w:caps w:val="0"/>
        </w:rPr>
      </w:pPr>
      <w:bookmarkStart w:id="51" w:name="_Toc19818"/>
      <w:r>
        <w:rPr>
          <w:rFonts w:hint="eastAsia" w:ascii="Times New Roman" w:hAnsi="Times New Roman" w:eastAsia="黑体"/>
          <w:caps w:val="0"/>
          <w:color w:val="000000"/>
          <w:sz w:val="44"/>
          <w:szCs w:val="44"/>
        </w:rPr>
        <w:t>名</w:t>
      </w:r>
      <w:r>
        <w:rPr>
          <w:rStyle w:val="19"/>
          <w:rFonts w:hint="eastAsia" w:ascii="Times New Roman" w:hAnsi="Times New Roman" w:eastAsia="黑体"/>
          <w:b w:val="0"/>
          <w:caps w:val="0"/>
        </w:rPr>
        <w:t>词解释</w:t>
      </w:r>
      <w:bookmarkEnd w:id="49"/>
      <w:bookmarkEnd w:id="50"/>
      <w:bookmarkEnd w:id="51"/>
    </w:p>
    <w:p>
      <w:pPr>
        <w:spacing w:line="600" w:lineRule="exact"/>
        <w:jc w:val="left"/>
        <w:rPr>
          <w:rFonts w:ascii="Times New Roman" w:hAnsi="Times New Roman"/>
          <w:b/>
          <w:caps w:val="0"/>
          <w:color w:val="000000"/>
          <w:sz w:val="44"/>
          <w:szCs w:val="44"/>
        </w:rPr>
      </w:pP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14:textFill>
            <w14:solidFill>
              <w14:schemeClr w14:val="tx1"/>
            </w14:solidFill>
          </w14:textFill>
        </w:rPr>
      </w:pPr>
      <w:bookmarkStart w:id="52" w:name="_Toc15396614"/>
      <w:bookmarkStart w:id="53" w:name="_Toc23450"/>
      <w:bookmarkStart w:id="54" w:name="_Toc15377226"/>
      <w:bookmarkStart w:id="83" w:name="_GoBack"/>
      <w:r>
        <w:rPr>
          <w:rFonts w:hint="eastAsia" w:ascii="Times New Roman" w:hAnsi="Times New Roman" w:eastAsia="仿宋_GB2312"/>
          <w:caps w:val="0"/>
          <w:color w:val="000000" w:themeColor="text1"/>
          <w:sz w:val="32"/>
          <w:szCs w:val="32"/>
          <w:highlight w:val="none"/>
          <w14:textFill>
            <w14:solidFill>
              <w14:schemeClr w14:val="tx1"/>
            </w14:solidFill>
          </w14:textFill>
        </w:rPr>
        <w:t>1.</w:t>
      </w:r>
      <w:r>
        <w:rPr>
          <w:rFonts w:hint="eastAsia" w:ascii="Times New Roman" w:hAnsi="Times New Roman" w:eastAsia="仿宋_GB2312"/>
          <w:caps w:val="0"/>
          <w:color w:val="000000" w:themeColor="text1"/>
          <w:sz w:val="32"/>
          <w:szCs w:val="32"/>
          <w:highlight w:val="none"/>
          <w14:textFill>
            <w14:solidFill>
              <w14:schemeClr w14:val="tx1"/>
            </w14:solidFill>
          </w14:textFill>
        </w:rPr>
        <w:t>财政拨款收入：指单位从同级财政部门取得的财政预算资金。</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aps w:val="0"/>
          <w:color w:val="000000" w:themeColor="text1"/>
          <w:sz w:val="32"/>
          <w:szCs w:val="32"/>
          <w:highlight w:val="none"/>
          <w14:textFill>
            <w14:solidFill>
              <w14:schemeClr w14:val="tx1"/>
            </w14:solidFill>
          </w14:textFill>
        </w:rPr>
        <w:t>2.</w:t>
      </w:r>
      <w:r>
        <w:rPr>
          <w:rFonts w:hint="eastAsia" w:ascii="Times New Roman" w:hAnsi="Times New Roman" w:eastAsia="仿宋_GB2312"/>
          <w:caps w:val="0"/>
          <w:color w:val="000000" w:themeColor="text1"/>
          <w:sz w:val="32"/>
          <w:szCs w:val="32"/>
          <w:highlight w:val="none"/>
          <w14:textFill>
            <w14:solidFill>
              <w14:schemeClr w14:val="tx1"/>
            </w14:solidFill>
          </w14:textFill>
        </w:rPr>
        <w:t>事业收入：指事业单位开展专业业务活动及辅助活动取得的收入。如</w:t>
      </w:r>
      <w:r>
        <w:rPr>
          <w:rFonts w:hint="eastAsia" w:ascii="Times New Roman" w:hAnsi="Times New Roman" w:eastAsia="仿宋_GB2312"/>
          <w:caps w:val="0"/>
          <w:color w:val="000000" w:themeColor="text1"/>
          <w:sz w:val="32"/>
          <w:szCs w:val="32"/>
          <w:highlight w:val="none"/>
          <w:lang w:eastAsia="zh-CN"/>
          <w14:textFill>
            <w14:solidFill>
              <w14:schemeClr w14:val="tx1"/>
            </w14:solidFill>
          </w14:textFill>
        </w:rPr>
        <w:t>委托培养在职研究生学费</w:t>
      </w:r>
      <w:r>
        <w:rPr>
          <w:rFonts w:hint="eastAsia" w:ascii="Times New Roman" w:hAnsi="Times New Roman" w:eastAsia="仿宋_GB2312"/>
          <w:caps w:val="0"/>
          <w:color w:val="000000" w:themeColor="text1"/>
          <w:sz w:val="32"/>
          <w:szCs w:val="32"/>
          <w:highlight w:val="none"/>
          <w14:textFill>
            <w14:solidFill>
              <w14:schemeClr w14:val="tx1"/>
            </w14:solidFill>
          </w14:textFill>
        </w:rPr>
        <w:t>等。</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3.一般公共服务（类）组织事务（款）其他组织事务（项）：指2024年省级干部教育培训机构质量提升专项资金的支出。</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教育（类）进修及培训（款）干部教育（项）：指党校、行政学院、社会主义学院的支出。包括机构运转、招聘师资、举办各类培训班的支出等。</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社会保障和就业（类）行政事业单位养老（款）事业单位离退休（项）：指实行归口管理的事业单位开支的离退休经费。</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6</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社会保障和就业（类）行政事业单位养老（款）机关事业单位基本养老保险缴费（项）：指机关事业单位实施养老保险制度由单位缴纳的基本养老保险费支出。</w:t>
      </w:r>
    </w:p>
    <w:p>
      <w:pPr>
        <w:pStyle w:val="22"/>
        <w:spacing w:line="560" w:lineRule="exact"/>
        <w:ind w:firstLine="640" w:firstLineChars="200"/>
        <w:rPr>
          <w:rFonts w:hint="default" w:ascii="Times New Roman" w:hAnsi="Times New Roman" w:eastAsia="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7</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社会保障和就业（类）行政事业单位养老（款）机关事业单位职业年金缴费（项）：指机关事业单位</w:t>
      </w:r>
      <w:r>
        <w:rPr>
          <w:rFonts w:hint="default" w:ascii="Times New Roman" w:hAnsi="Times New Roman" w:eastAsia="仿宋_GB2312"/>
          <w:caps w:val="0"/>
          <w:color w:val="000000" w:themeColor="text1"/>
          <w:sz w:val="32"/>
          <w:szCs w:val="32"/>
          <w:highlight w:val="none"/>
          <w14:textFill>
            <w14:solidFill>
              <w14:schemeClr w14:val="tx1"/>
            </w14:solidFill>
          </w14:textFill>
        </w:rPr>
        <w:t>实施养老保险制度由单位缴纳的职业年金支出。</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8.社会保障和就业（类）抚恤（款）死亡抚恤（项）:指退休人员去世一次性抚恤金及丧葬补助。</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卫生健康（类）行政事业单位医疗（款）事业单位医疗（项）：指财政部门安排的事业单位医疗缴费经费。</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10</w:t>
      </w:r>
      <w:r>
        <w:rPr>
          <w:rFonts w:hint="eastAsia" w:ascii="Times New Roman" w:hAnsi="Times New Roman" w:eastAsia="仿宋_GB2312"/>
          <w:caps w:val="0"/>
          <w:color w:val="000000" w:themeColor="text1"/>
          <w:sz w:val="32"/>
          <w:szCs w:val="32"/>
          <w:highlight w:val="none"/>
          <w14:textFill>
            <w14:solidFill>
              <w14:schemeClr w14:val="tx1"/>
            </w14:solidFill>
          </w14:textFill>
        </w:rPr>
        <w:t>.卫生健康（类）行政事业单位医疗（款）</w:t>
      </w:r>
      <w:r>
        <w:rPr>
          <w:rFonts w:hint="eastAsia" w:ascii="Times New Roman" w:hAnsi="Times New Roman" w:eastAsia="仿宋_GB2312"/>
          <w:caps w:val="0"/>
          <w:color w:val="000000" w:themeColor="text1"/>
          <w:sz w:val="32"/>
          <w:szCs w:val="32"/>
          <w:highlight w:val="none"/>
          <w:lang w:eastAsia="zh-CN"/>
          <w14:textFill>
            <w14:solidFill>
              <w14:schemeClr w14:val="tx1"/>
            </w14:solidFill>
          </w14:textFill>
        </w:rPr>
        <w:t>公务员医疗补助</w:t>
      </w:r>
      <w:r>
        <w:rPr>
          <w:rFonts w:hint="eastAsia" w:ascii="Times New Roman" w:hAnsi="Times New Roman" w:eastAsia="仿宋_GB2312"/>
          <w:caps w:val="0"/>
          <w:color w:val="000000" w:themeColor="text1"/>
          <w:sz w:val="32"/>
          <w:szCs w:val="32"/>
          <w:highlight w:val="none"/>
          <w14:textFill>
            <w14:solidFill>
              <w14:schemeClr w14:val="tx1"/>
            </w14:solidFill>
          </w14:textFill>
        </w:rPr>
        <w:t>（项）:</w:t>
      </w: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指财政部门安排的公务员医疗补助经费。</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11</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住房保障（类）住房改革（款）住房公积金（项）：指单位按人力资源和社会保障部、财政部规定的基本工资和津贴补贴及规定比例为职工缴纳的住房公积金。</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12</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14:textFill>
            <w14:solidFill>
              <w14:schemeClr w14:val="tx1"/>
            </w14:solidFill>
          </w14:textFill>
        </w:rPr>
        <w:t>基本支出：指为保障机构正常运转、完成日常工作任务而发生的人员支出和公用支出。</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13</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14:textFill>
            <w14:solidFill>
              <w14:schemeClr w14:val="tx1"/>
            </w14:solidFill>
          </w14:textFill>
        </w:rPr>
        <w:t xml:space="preserve">项目支出：指在基本支出之外为完成特定行政任务和事业发展目标所发生的支出。 </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14</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14:textFill>
            <w14:solidFill>
              <w14:schemeClr w14:val="tx1"/>
            </w14:solidFill>
          </w14:textFill>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2"/>
        <w:spacing w:line="560" w:lineRule="exact"/>
        <w:ind w:firstLine="640" w:firstLineChars="200"/>
        <w:rPr>
          <w:rFonts w:hint="eastAsia" w:ascii="Times New Roman" w:hAnsi="Times New Roman" w:eastAsia="仿宋_GB2312"/>
          <w:caps w:val="0"/>
          <w:color w:val="000000" w:themeColor="text1"/>
          <w:sz w:val="32"/>
          <w:szCs w:val="32"/>
          <w:highlight w:val="none"/>
          <w14:textFill>
            <w14:solidFill>
              <w14:schemeClr w14:val="tx1"/>
            </w14:solidFill>
          </w14:textFill>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仿宋_GB2312"/>
          <w:caps w:val="0"/>
          <w:color w:val="000000" w:themeColor="text1"/>
          <w:sz w:val="32"/>
          <w:szCs w:val="32"/>
          <w:highlight w:val="none"/>
          <w:lang w:val="en-US" w:eastAsia="zh-CN"/>
          <w14:textFill>
            <w14:solidFill>
              <w14:schemeClr w14:val="tx1"/>
            </w14:solidFill>
          </w14:textFill>
        </w:rPr>
        <w:t>15</w:t>
      </w:r>
      <w:r>
        <w:rPr>
          <w:rFonts w:hint="eastAsia" w:ascii="Times New Roman" w:hAnsi="Times New Roman" w:eastAsia="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aps w:val="0"/>
          <w:color w:val="000000" w:themeColor="text1"/>
          <w:sz w:val="32"/>
          <w:szCs w:val="32"/>
          <w:highlight w:val="none"/>
          <w14:textFill>
            <w14:solidFill>
              <w14:schemeClr w14:val="tx1"/>
            </w14:solidFill>
          </w14:textFill>
        </w:rPr>
        <w:t>机关运行经费：为保障行政单位（含参照公务员法管理的事业单位）运行用于购买货物和服务的各项资金，包括办公及印刷费、邮电费、差旅费、会议费、福利费、日常维修费、一般设备购置费、办公用房水电费、办公用房物业管理费、公务用车运行维护费以及其他费用。</w:t>
      </w:r>
    </w:p>
    <w:bookmarkEnd w:id="83"/>
    <w:p>
      <w:pPr>
        <w:spacing w:line="600" w:lineRule="exact"/>
        <w:jc w:val="center"/>
        <w:outlineLvl w:val="0"/>
        <w:rPr>
          <w:rStyle w:val="19"/>
          <w:rFonts w:ascii="Times New Roman" w:hAnsi="Times New Roman" w:eastAsia="黑体"/>
          <w:b w:val="0"/>
          <w:caps w:val="0"/>
        </w:rPr>
      </w:pPr>
      <w:r>
        <w:rPr>
          <w:rFonts w:hint="eastAsia" w:ascii="Times New Roman" w:hAnsi="Times New Roman" w:eastAsia="黑体"/>
          <w:caps w:val="0"/>
          <w:color w:val="000000"/>
          <w:sz w:val="44"/>
          <w:szCs w:val="44"/>
        </w:rPr>
        <w:t>第</w:t>
      </w:r>
      <w:r>
        <w:rPr>
          <w:rStyle w:val="19"/>
          <w:rFonts w:hint="eastAsia" w:ascii="Times New Roman" w:hAnsi="Times New Roman" w:eastAsia="黑体"/>
          <w:b w:val="0"/>
          <w:caps w:val="0"/>
        </w:rPr>
        <w:t>四部分</w:t>
      </w:r>
      <w:r>
        <w:rPr>
          <w:rStyle w:val="19"/>
          <w:rFonts w:ascii="Times New Roman" w:hAnsi="Times New Roman" w:eastAsia="黑体"/>
          <w:b w:val="0"/>
          <w:caps w:val="0"/>
        </w:rPr>
        <w:t xml:space="preserve"> </w:t>
      </w:r>
      <w:r>
        <w:rPr>
          <w:rStyle w:val="19"/>
          <w:rFonts w:hint="eastAsia" w:ascii="Times New Roman" w:hAnsi="Times New Roman" w:eastAsia="黑体"/>
          <w:b w:val="0"/>
          <w:caps w:val="0"/>
        </w:rPr>
        <w:t>附件</w:t>
      </w:r>
      <w:bookmarkEnd w:id="52"/>
      <w:bookmarkEnd w:id="53"/>
    </w:p>
    <w:p>
      <w:pPr>
        <w:keepNext w:val="0"/>
        <w:keepLines w:val="0"/>
        <w:pageBreakBefore w:val="0"/>
        <w:widowControl/>
        <w:kinsoku/>
        <w:wordWrap/>
        <w:overflowPunct/>
        <w:topLinePunct w:val="0"/>
        <w:autoSpaceDE/>
        <w:autoSpaceDN/>
        <w:bidi w:val="0"/>
        <w:adjustRightInd w:val="0"/>
        <w:snapToGrid w:val="0"/>
        <w:spacing w:line="560" w:lineRule="exact"/>
        <w:contextualSpacing/>
        <w:jc w:val="center"/>
        <w:textAlignment w:val="auto"/>
        <w:rPr>
          <w:rFonts w:hint="eastAsia" w:ascii="Times New Roman" w:hAnsi="Times New Roman" w:eastAsia="方正小标宋简体" w:cs="方正小标宋简体"/>
          <w:caps w:val="0"/>
          <w:color w:val="000000"/>
          <w:kern w:val="0"/>
          <w:sz w:val="44"/>
          <w:szCs w:val="44"/>
          <w:highlight w:val="none"/>
          <w:shd w:val="clear" w:color="auto" w:fill="FFFFFF"/>
          <w:lang w:val="en-US" w:eastAsia="zh-CN"/>
        </w:rPr>
      </w:pPr>
    </w:p>
    <w:p>
      <w:pPr>
        <w:keepNext w:val="0"/>
        <w:keepLines w:val="0"/>
        <w:widowControl w:val="0"/>
        <w:suppressLineNumbers w:val="0"/>
        <w:spacing w:before="0" w:beforeAutospacing="0" w:after="0" w:afterAutospacing="0" w:line="580" w:lineRule="exact"/>
        <w:ind w:left="0" w:right="0"/>
        <w:jc w:val="both"/>
        <w:outlineLvl w:val="9"/>
        <w:rPr>
          <w:rFonts w:hint="eastAsia" w:ascii="Times New Roman" w:hAnsi="Times New Roman" w:eastAsia="黑体" w:cs="黑体"/>
          <w:caps w:val="0"/>
          <w:color w:val="000000" w:themeColor="text1"/>
          <w:kern w:val="2"/>
          <w:sz w:val="32"/>
          <w:szCs w:val="24"/>
          <w:lang w:val="en-US" w:eastAsia="zh-CN" w:bidi="ar"/>
          <w14:textFill>
            <w14:solidFill>
              <w14:schemeClr w14:val="tx1"/>
            </w14:solidFill>
          </w14:textFill>
        </w:rPr>
      </w:pPr>
      <w:bookmarkStart w:id="55" w:name="_Toc15396618"/>
      <w:bookmarkStart w:id="56" w:name="_Toc3613"/>
      <w:r>
        <w:rPr>
          <w:rFonts w:hint="eastAsia" w:ascii="Times New Roman" w:hAnsi="Times New Roman" w:eastAsia="黑体" w:cs="黑体"/>
          <w:caps w:val="0"/>
          <w:color w:val="000000" w:themeColor="text1"/>
          <w:kern w:val="2"/>
          <w:sz w:val="32"/>
          <w:szCs w:val="24"/>
          <w:lang w:val="en-US" w:eastAsia="zh-CN" w:bidi="ar"/>
          <w14:textFill>
            <w14:solidFill>
              <w14:schemeClr w14:val="tx1"/>
            </w14:solidFill>
          </w14:textFill>
        </w:rPr>
        <w:t>附件2</w:t>
      </w:r>
    </w:p>
    <w:tbl>
      <w:tblPr>
        <w:tblStyle w:val="15"/>
        <w:tblW w:w="14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9"/>
        <w:gridCol w:w="2048"/>
        <w:gridCol w:w="1765"/>
        <w:gridCol w:w="2258"/>
        <w:gridCol w:w="524"/>
        <w:gridCol w:w="1675"/>
        <w:gridCol w:w="524"/>
        <w:gridCol w:w="1094"/>
        <w:gridCol w:w="510"/>
        <w:gridCol w:w="486"/>
        <w:gridCol w:w="2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51030021T000000055166-中共自贡市委员会党校迁建项目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5"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Style w:val="29"/>
                <w:color w:val="000000" w:themeColor="text1"/>
                <w:lang w:val="en-US" w:eastAsia="zh-CN" w:bidi="ar"/>
                <w14:textFill>
                  <w14:solidFill>
                    <w14:schemeClr w14:val="tx1"/>
                  </w14:solidFill>
                </w14:textFill>
              </w:rPr>
              <w:t>一是项目建设充分发挥党员干部培训主阵地的重要作用；二是项目建设为自贡市经济发展，做出新的贡献；三是项目的建设可以产生良好的社会效益，在建设期间可以为社会提供就业机会，为社会不同群体带来效益。项目可以加大干部教育培训力度，加强党的执政能力建设和先进性建设，充分发挥主渠道、主阵地作用，突出培训特点，增强培训实效，突出党校办学特色，推进改革创新，实现党校在干部教育培训机构中充当主力军和排头兵的作用，对于把自贡市各项事业推向前进具有十分重要的意义，促进社会的经济发展和社会的和谐稳定。</w:t>
            </w:r>
            <w:r>
              <w:rPr>
                <w:rFonts w:ascii="Arial" w:hAnsi="Arial" w:eastAsia="宋体" w:cs="Arial"/>
                <w:i w:val="0"/>
                <w:iCs w:val="0"/>
                <w:color w:val="000000" w:themeColor="text1"/>
                <w:kern w:val="0"/>
                <w:sz w:val="18"/>
                <w:szCs w:val="18"/>
                <w:u w:val="none"/>
                <w:lang w:val="en-US" w:eastAsia="zh-CN" w:bidi="ar"/>
                <w14:textFill>
                  <w14:solidFill>
                    <w14:schemeClr w14:val="tx1"/>
                  </w14:solidFill>
                </w14:textFill>
              </w:rPr>
              <w:t xml:space="preserve"> </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该项目自2018年9月15日实施至2019年8月12日项目预验收。2022年5月13日，建设单位组织勘察设计、施工和监理单位进行竣工验收，质量验收合格。2019年9月5日，中共自贡市委党校新校区项目举行揭牌仪式，开始试运行。2025年4月，完成竣工财务决算审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自贡市委党校（市行政学院）建设工程新建项目，建设地址在自贡市大安区寮北路东侧，建筑面积15868.08平方米，包括1号楼（礼堂）、2号楼（行政及辅助楼）、3号楼（科研楼）、4号楼（教学楼）、门卫室、地下车库及配套设施设备，经批复调整后，该项目总投资概算12859.58万元。2025年4月，该项目完成竣工财务决算审核，截至2024年11月30日，项目实际到位资金9078.62万元，实际完成投资总额11593.53万元。经审核，概算投资完成率90.15%，总体执行情况较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902.00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902.00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预算调整原因为：2025年追加迁建项目工程建设部分尾款902万元。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902.00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902.00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完成新校区1-4号楼修建面积</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15868</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平方米</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15868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工程验收合格率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竣工财务决算完成时限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项目对党校干部培训事业发展和影响</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优秀</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级</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优秀</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项目完成后可持续使用年限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70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70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该项目自评总分100分。各类设施设备使用率高，均能正常运行，能满足培训主阵地需求，未出现教职工投诉现象，满意度较高。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51030022T000000333035-市委党校运行维护工作经费（财政专户管理资金）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财政专户管理资金主要为以前年度收取的培训费用及省委党校研究生学费返还款，主要用于省委党校在职研究生培训，弥补学校运行维护经费，如租赁费、维修维护费、编外人员劳务费、办公设备购置等不足。</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严格按照省委党校要求，全面完成省委党校在职研究生培训任务。做好校区设施设备的日常维修维护管理等工作，确保学校各项功能正常运行。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本项目严格按照资金支付规定和合同的履约标准进行支付，如省委党校在职研究生培训费用、办公设备购置、设施设备维护等，相关明细和发票齐全。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18.76</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18.76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预算调整原因为：年终财政专户管理资金收回。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18.76</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18.76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省委党校研究生培训人数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121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打印机租赁数量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省委党校研究生毕业答辩通过率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办公设备使用年限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省委党校研究生学员满意度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办公设备和软件购置更新成本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11.48</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9.58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该项目自评总分100分。按照省委党校在职研究生教育有关要求，自贡教学分部2025年全面完成了所有教学安排任务，日常管理规范高效，研究生办学质量得到各方普遍好评。学校严格按照绩效目标配备和完善相应设施，做好设施设备的日常维修维护，确保学校各项基本功能正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项目负责人：冯英、袁媛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51030022Y000000326260-市委党校教学科研培训经费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围绕党的重大理论、重大决策部署和市委、市政府中心工作等开展课题调研，出刊《盐都论坛》，开展理论研讨培训、学员宿舍陈列图书等工作。</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围绕党的重大理论、重大决策部署和市委、市政府中心工作等开展调研。《盐都论坛》出刊4期，被评为全市科协系统优秀学术二类期刊。举办全市党校系统教师科研能力提升培训班，教师科研素质整体提升。学员生活区创新设立“学思书架”96处，精选政治理论、领导著作类经典图书2000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按照年度计划完成科研工作管理人员及教师培训63人，出刊《盐都论坛》4期，开展对外学术交流单位50个，稳步提升科研工作质量与水平，为</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市委、市政府</w:t>
            </w: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科学决策提供重要参考。创新服务模式，与新华文轩合作构建“宿舍+教学楼”双空间阅读服务体系。精选政治理论、领导著作类经典图书2000册。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22.00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16.76</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16.76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预算调整原因为：单位内部调剂该项目经费到其他项目使用。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22.00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16.76</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16.76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学员宿舍陈列图书数量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册</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2000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培训科研工作管理人员及教师数量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63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出刊《盐都论坛》数量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期</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提升图书服务水平</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促进对外学术交流的单位数量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50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该项目自评总分100分。本年度培训科研工作管理人员及教师63人，出刊《盐都论坛》4期，开展对外学术交流单位50个，科研工作有序开展，学术氛围日渐浓厚，为市委、市政府科学决策提供重要参考，完成效果达到预期目标。在巩固传统图书服务基础上持续创新服务模式，与新华文轩合作构建“宿舍+教学楼”双空间阅读服务体系，初步形成门类齐全、精准服务的智慧阅读生态，进一步提高了图书服务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项目负责人：朱忻钰、詹剑锋</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51030022Y000000381659-市委党校后勤保障工作经费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该项目主要是通过社会化购买物业服务，确保校区办公区域和教学公共区域的环境保洁、秩序管理、会议服务（会场布置摆放，茶水服务，卫生保洁等服务）、燃气、水电工程、绿化养护等工作的高效运行，以及弥补党校食堂工作人员劳务费用不足部分，同时用于租赁直饮水机、校园维修维护等。</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1.通过社会化购买物业服务，确保校区环境保洁、秩序管理、会议服务、水电工程、绿化养护等工作的高效进行，满足教职员工学习、工作的后勤保障需要。</w:t>
            </w: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2.为满足后勤保障的基本物资和功能服务需求，确保学校各项功能正常运行，配置相应的设施设备，聘请专业的服务人员满足教职工的工作生活需求。</w:t>
            </w: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3.做好校区设施设备的维修维护管理，保障设施设备的有效使用，促进办学质量提升。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严格按照资金支付规定和合同的履约标准进行支付，其中物业管理、设施设备维护、固定资产管理、电梯维修维护、食堂劳务服务等服务的合同续签均请示了校院委会，并与相应的供应商签订合同，严格按合同要求进行资金支付。同时，所有日常后勤保障物资的采购，均符合要求，相关明细和发票齐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88.55</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91.58</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91.58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预算调整原因为：单位内部调剂其他项目经费到该项目使用。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88.55</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91.58</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91.58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配置专业物业服务人员数量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校园维修维护次数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每季度物业服务评分考核优秀率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99</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受益学员数量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4117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可持续发展指标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物业服务时限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总分100分。做好校区设施设备的维修维护管理，如电梯定期维保、电子教学设备维护、电路定期检查等，确保学校各项功能正常运行。通过社会化购买物业服务，确保校区环境保洁、秩序管理、会议服务、水电工程、绿化养护等工作的高效进行，为教职员工和学员的工作、学习、生活等方面提供充足保障，完成效果达到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51030023T000008373587-市委党校后勤运行经费（管理）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市委党校场地使用费收入，用于学校物业管理服务、维修维护等。</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市委党校场地使用费收入，2025年服务培训4117人次，60个班次，教学任务落实率100%。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2025年服务培训4117人次，60个班次，教学任务落实率100%。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13.65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13.65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预算调整原因为：年终非税成本类项目资金收回。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13.65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13.65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服务班次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60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服务人次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1650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4117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对教学培训工作的促进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教学任务落实率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该项目自评总分100分。市委党校场地使用费收入，2025年服务培训4117人次，60个班次，教学任务落实率100%，促进了党校的教学培训工作，完成效果达到预期目标。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51030024T000010474317-市委党校对外合作培训经费（管理）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为贯彻落实《中国共产党党校（行政学院）工作条例》，适应新时代市县级党校分类建设需要，更好发挥本土特色教学基地、现场教学点的作用，市委党校持续加强对外办学的班次承接与相应保障，每年计划承接外来培训班5个，扩大自贡知名度，吸引更多省内外党员干部前来自贡学习。</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2025年度举办对外合作培训班33期，现场教学19次，参训学员2443人次，学员满意度达99.32%。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送培单位与外训部在充分对接沟通的基础上形成培训方案，报学校分管领导审批同意后与送培方签订培训协议。外训部按照培训协议聘请师资、安排课程和现场教学等内容，做好全程跟班服务和安全管理。培训结束，及时完善费用支付报销手续，按班结算和报销。学员从课程设置、师资水平、服务保障3个维度进行满意度测评。学校从财务、纪律等方面实行日常监管。外训部通过班主任带班考核制度对班主任进行全程考核监督，确保办班带班质量和效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14.40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185.50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185.50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预算调整原因为：2025年对外合作培训班次人次较年初预算有大幅增加。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14.40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185.50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185.50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承接外来培训班数量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培训学员数量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2443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培训计划按期完成率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提升党校对外培训知名度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参训学员满意度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99.32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该项目自评总分100分。市委党校外训部2025年承接外来培训班33期，开展现场教学次数19次，按时完成对外培训年度任务，提升了党校外训知名度，学员满意度达到99.32%。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项目负责人：缪姗姗</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51030024Y000010194269-其他运转支出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党校职工食堂费用，按72人X32元/人.天x193天计算，每年共需食堂费用约44.5万元，厉行节约压减后需费用43.7万元，公用经费列支一部分，剩余部分在常年专项中保障。</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为确保学校各项功能正常运行，提升队伍稳定性与凝聚力，为教职员工生活提供就餐保障，补贴学校食堂餐费。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本项目严格按照预算安排控制经费，我校按照早餐12元、午餐23元（其中教职工自行支付早餐1元、午餐2元，行政匹配早餐11元、午餐21元）的标准进行认真测算。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32.60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32.05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32.05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32.60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32.05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32.05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每天保障职工就餐人数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70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食堂服务时限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对党校后勤服务工作的促进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教职工满意度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人均伙食费标准</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元/天</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31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根据教职工的饮食习惯和营养需求，科学制定每周食谱，做到菜品荤素搭配、营养均衡，严格执行成本核算制度，强化食堂各项成本的控制和管理，对学校办学质量工作有较大提升，得到教职工的普遍好评。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51030025T000013333570-2024年省级干部教育培训机构质量提升专项资金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为深入贯彻《干部教育培训工作条例》《全国干部教育培训规划（2023—2027年）》以及我省新一轮干部教育培训规划，深入实施习近平新时代中国特色社会主义思想凝心铸魂计划，为培养造就一支政治过硬、适应新时代要求、具备领导现代化建设能力的高素质干部队伍提供有力支持，切实发挥干部教育培训机构质量提升省级财政专项资金的激励引导作用，推动市委党校不断改善办学条件、提升办学质量水平，打造具有全国影响力的干部教育培训机构。</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按照专项资金管理各项规定，安全、有效使用专项资金，切实加大课程开发力度、开展有组织科研，开发各项教学系统、更新教学设施设备、组织教师开展业务能力培训，各项工作按既定目标全面完成。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该项目严格按照省下专项资金管理办法，对标目标任务，高效推动各项指标按进度实施，支付依据合规合法，与预算相符，完成效果达到预期目标。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239.95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239.95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预算调整原因为：2025年新增下达了省级干部教育培训机构质量提升专项资金。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239.95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239.95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新建教室LED屏幕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平方米</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开展四库（课程、师资、点位、试题）建设数量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新建视频教学会议系统数量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套</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打造特色课程数量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门</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打造重点课程数量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门</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开展课题研究数量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开发教学考试及学员管理系统数量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开展师资培训人次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编写专著教材数量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部</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开发精品教学线路</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打造典型案例数量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科研课题结项率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全市党校系统教师培训覆盖率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在教育培训干部、服务地方经济社会发展方面积极发挥作用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参训学员满意度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98.7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总分100分。数量指标方面，新建LED屏幕、视频会议系统，完成四库建设、特色及重点课程打造、课题研究、管理系统开发、师资培训、专著教材、精品线路及典型案例等全部目标；质量指标中科研课题结项率及教师培训覆盖率均达100%。效益指标显示，项目有效提升了干部教育培训水平，有力服务地方经济社会发展。参训学员满意度高。综合评定：资金使用规范高效，绩效目标全面实现，评价等级为“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项目负责人：何晓艳、朱忻钰、詹剑锋、董云</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51030025Y000012510649-驻村第一书记和工作队补助经费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市委党校选派的驻村第一书记1人的补助经费。</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选优配强驻村第一书记，加强对驻村第一书记的日常管理和关心关爱，按规定保障工作经费和补贴。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按照安排，选派一名同志到大安区新民镇白果冲村担任驻村第一书记。市委党校强化保障支持，加强关心关爱，经常性了解其思想动态，促进安心工作，激励担当作为。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驻村第一书记生活补助保障率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选派驻村第一书记人数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发放及时率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对帮扶村工作的促进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提升驻村第一书记基层工作能力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得分100分。市委党校选优配强一名驻村第一书记到大安区新民镇白果冲村工作，加强对驻村第一书记日常管理和关心关爱，按规定保障工作经费和补贴。充分发挥党校职能优势，积极履行驻村第一书记职责，服从所在乡镇党委工作安排，与村“两委”、驻村工作队员等形成工作合力，共同推进各项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项目负责人：冯均、陈莎</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4115"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4115"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15"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15"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适用用户：部门用户、单位用户</w:t>
            </w:r>
          </w:p>
        </w:tc>
      </w:tr>
    </w:tbl>
    <w:p>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aps w:val="0"/>
          <w:color w:val="000000" w:themeColor="text1"/>
          <w:sz w:val="32"/>
          <w:szCs w:val="32"/>
          <w:highlight w:val="none"/>
          <w14:textFill>
            <w14:solidFill>
              <w14:schemeClr w14:val="tx1"/>
            </w14:solidFill>
          </w14:textFill>
        </w:rPr>
        <w:sectPr>
          <w:pgSz w:w="16838" w:h="11906" w:orient="landscape"/>
          <w:pgMar w:top="1800" w:right="1440" w:bottom="1800" w:left="1440" w:header="851" w:footer="992" w:gutter="0"/>
          <w:pgNumType w:fmt="decimal"/>
          <w:cols w:space="425" w:num="1"/>
          <w:docGrid w:type="lines" w:linePitch="312" w:charSpace="0"/>
        </w:sectPr>
      </w:pPr>
    </w:p>
    <w:p>
      <w:pPr>
        <w:spacing w:line="600" w:lineRule="exact"/>
        <w:jc w:val="both"/>
        <w:outlineLvl w:val="0"/>
        <w:rPr>
          <w:rFonts w:hint="eastAsia" w:ascii="Times New Roman" w:hAnsi="Times New Roman" w:eastAsia="黑体"/>
          <w:caps w:val="0"/>
          <w:color w:val="000000"/>
          <w:sz w:val="44"/>
          <w:szCs w:val="44"/>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14:textFill>
            <w14:solidFill>
              <w14:schemeClr w14:val="tx1"/>
            </w14:solidFill>
          </w14:textFill>
        </w:rPr>
      </w:pPr>
      <w:r>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项目支出绩效自评报告</w:t>
      </w: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仿宋_GB2312" w:cs="仿宋_GB2312"/>
          <w:color w:val="000000" w:themeColor="text1"/>
          <w:kern w:val="2"/>
          <w:sz w:val="32"/>
          <w:szCs w:val="24"/>
          <w:lang w:bidi="ar"/>
          <w14:textFill>
            <w14:solidFill>
              <w14:schemeClr w14:val="tx1"/>
            </w14:solidFill>
          </w14:textFill>
        </w:rPr>
      </w:pP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w:t>
      </w:r>
      <w:r>
        <w:rPr>
          <w:rFonts w:hint="eastAsia" w:ascii="Times New Roman" w:hAnsi="Times New Roman" w:eastAsia="仿宋_GB2312" w:cs="仿宋_GB2312"/>
          <w:color w:val="000000" w:themeColor="text1"/>
          <w:kern w:val="2"/>
          <w:sz w:val="32"/>
          <w:szCs w:val="24"/>
          <w:lang w:eastAsia="zh-CN" w:bidi="ar"/>
          <w14:textFill>
            <w14:solidFill>
              <w14:schemeClr w14:val="tx1"/>
            </w14:solidFill>
          </w14:textFill>
        </w:rPr>
        <w:t>中共自贡市委员会</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党校迁建项目</w:t>
      </w: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w:t>
      </w:r>
    </w:p>
    <w:p>
      <w:pPr>
        <w:pStyle w:val="28"/>
        <w:keepNext w:val="0"/>
        <w:keepLines w:val="0"/>
        <w:pageBreakBefore w:val="0"/>
        <w:kinsoku/>
        <w:wordWrap/>
        <w:overflowPunct/>
        <w:topLinePunct w:val="0"/>
        <w:autoSpaceDE/>
        <w:autoSpaceDN/>
        <w:bidi w:val="0"/>
        <w:spacing w:line="540" w:lineRule="exact"/>
        <w:ind w:firstLine="883"/>
        <w:jc w:val="left"/>
        <w:textAlignment w:val="auto"/>
        <w:rPr>
          <w:rFonts w:hint="eastAsia" w:ascii="Times New Roman" w:hAnsi="Times New Roman" w:eastAsia="仿宋_GB2312" w:cs="仿宋_GB2312"/>
          <w:color w:val="000000" w:themeColor="text1"/>
          <w:kern w:val="2"/>
          <w:sz w:val="32"/>
          <w:szCs w:val="24"/>
          <w:lang w:bidi="ar"/>
          <w14:textFill>
            <w14:solidFill>
              <w14:schemeClr w14:val="tx1"/>
            </w14:solidFill>
          </w14:textFill>
        </w:rPr>
      </w:pPr>
    </w:p>
    <w:p>
      <w:pPr>
        <w:keepNext w:val="0"/>
        <w:keepLines w:val="0"/>
        <w:pageBreakBefore w:val="0"/>
        <w:numPr>
          <w:ilvl w:val="0"/>
          <w:numId w:val="4"/>
        </w:numPr>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项目概况</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eastAsia="楷体_GB2312" w:cs="楷体_GB2312"/>
          <w:bCs/>
          <w:color w:val="000000" w:themeColor="text1"/>
          <w:lang w:val="zh-CN" w:bidi="ar"/>
          <w14:textFill>
            <w14:solidFill>
              <w14:schemeClr w14:val="tx1"/>
            </w14:solidFill>
          </w14:textFill>
        </w:rPr>
        <w:t>（一）</w:t>
      </w:r>
      <w:r>
        <w:rPr>
          <w:rFonts w:hint="eastAsia" w:ascii="Times New Roman" w:hAnsi="Times New Roman" w:eastAsia="楷体_GB2312" w:cs="楷体_GB2312"/>
          <w:bCs/>
          <w:color w:val="000000" w:themeColor="text1"/>
          <w:lang w:val="zh-CN" w:bidi="ar"/>
          <w14:textFill>
            <w14:solidFill>
              <w14:schemeClr w14:val="tx1"/>
            </w14:solidFill>
          </w14:textFill>
        </w:rPr>
        <w:t>项目资金申报及批复情况。</w:t>
      </w:r>
      <w:r>
        <w:rPr>
          <w:rFonts w:hint="eastAsia" w:ascii="Times New Roman" w:hAnsi="Times New Roman" w:eastAsia="仿宋" w:cs="仿宋"/>
          <w:b w:val="0"/>
          <w:bCs w:val="0"/>
          <w:color w:val="000000" w:themeColor="text1"/>
          <w:lang w:val="en-US" w:eastAsia="zh-CN" w:bidi="ar"/>
          <w14:textFill>
            <w14:solidFill>
              <w14:schemeClr w14:val="tx1"/>
            </w14:solidFill>
          </w14:textFill>
        </w:rPr>
        <w:t>自贡市委党校（市行政学院）建设工程项目截至2024年11月30日，实际到位资金9078.62万元，实际完成投资总额</w:t>
      </w:r>
      <w:r>
        <w:rPr>
          <w:rFonts w:hint="eastAsia" w:ascii="Times New Roman" w:hAnsi="Times New Roman" w:eastAsia="仿宋" w:cs="仿宋"/>
          <w:b w:val="0"/>
          <w:bCs w:val="0"/>
          <w:color w:val="000000" w:themeColor="text1"/>
          <w:lang w:val="zh-CN" w:bidi="ar"/>
          <w14:textFill>
            <w14:solidFill>
              <w14:schemeClr w14:val="tx1"/>
            </w14:solidFill>
          </w14:textFill>
        </w:rPr>
        <w:t>11593.53万</w:t>
      </w:r>
      <w:r>
        <w:rPr>
          <w:rFonts w:hint="eastAsia" w:ascii="Times New Roman" w:hAnsi="Times New Roman" w:eastAsia="仿宋" w:cs="仿宋"/>
          <w:b w:val="0"/>
          <w:bCs w:val="0"/>
          <w:color w:val="000000" w:themeColor="text1"/>
          <w:lang w:val="en-US" w:eastAsia="zh-CN" w:bidi="ar"/>
          <w14:textFill>
            <w14:solidFill>
              <w14:schemeClr w14:val="tx1"/>
            </w14:solidFill>
          </w14:textFill>
        </w:rPr>
        <w:t>元。</w:t>
      </w:r>
      <w:r>
        <w:rPr>
          <w:rFonts w:hint="eastAsia" w:ascii="Times New Roman" w:hAnsi="Times New Roman" w:eastAsia="仿宋" w:cs="仿宋"/>
          <w:b w:val="0"/>
          <w:bCs w:val="0"/>
          <w:color w:val="000000" w:themeColor="text1"/>
          <w:lang w:val="zh-CN" w:eastAsia="zh-CN" w:bidi="ar"/>
          <w14:textFill>
            <w14:solidFill>
              <w14:schemeClr w14:val="tx1"/>
            </w14:solidFill>
          </w14:textFill>
        </w:rPr>
        <w:t>该项目为跨年支付项目，</w:t>
      </w:r>
      <w:r>
        <w:rPr>
          <w:rFonts w:hint="eastAsia" w:ascii="Times New Roman" w:hAnsi="Times New Roman" w:eastAsia="仿宋" w:cs="仿宋"/>
          <w:b w:val="0"/>
          <w:bCs w:val="0"/>
          <w:color w:val="000000" w:themeColor="text1"/>
          <w:lang w:val="en-US" w:eastAsia="zh-CN" w:bidi="ar"/>
          <w14:textFill>
            <w14:solidFill>
              <w14:schemeClr w14:val="tx1"/>
            </w14:solidFill>
          </w14:textFill>
        </w:rPr>
        <w:t>2025年向市财政申请拨款902万元支付建安工程部分尾款</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keepNext w:val="0"/>
        <w:keepLines w:val="0"/>
        <w:pageBreakBefore w:val="0"/>
        <w:widowControl/>
        <w:kinsoku/>
        <w:wordWrap/>
        <w:overflowPunct/>
        <w:topLinePunct w:val="0"/>
        <w:autoSpaceDE/>
        <w:autoSpaceDN/>
        <w:bidi w:val="0"/>
        <w:spacing w:line="540" w:lineRule="exact"/>
        <w:ind w:firstLine="640" w:firstLineChars="200"/>
        <w:jc w:val="left"/>
        <w:textAlignment w:val="auto"/>
        <w:rPr>
          <w:rFonts w:hint="default" w:ascii="Times New Roman" w:hAnsi="Times New Roman" w:eastAsia="仿宋" w:cs="仿宋"/>
          <w:color w:val="000000" w:themeColor="text1"/>
          <w:sz w:val="32"/>
          <w:szCs w:val="24"/>
          <w:lang w:val="en-US" w:eastAsia="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（二）项目绩效目标。</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本年度计划完成</w:t>
      </w:r>
      <w:r>
        <w:rPr>
          <w:rFonts w:hint="eastAsia" w:ascii="Times New Roman" w:hAnsi="Times New Roman" w:eastAsia="仿宋" w:cs="仿宋"/>
          <w:b w:val="0"/>
          <w:bCs w:val="0"/>
          <w:color w:val="000000" w:themeColor="text1"/>
          <w:lang w:val="en-US" w:eastAsia="zh-CN" w:bidi="ar"/>
          <w14:textFill>
            <w14:solidFill>
              <w14:schemeClr w14:val="tx1"/>
            </w14:solidFill>
          </w14:textFill>
        </w:rPr>
        <w:t>自贡市委党校（市行政学院）建设工程</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项目竣工财务决算，完成</w:t>
      </w:r>
      <w:r>
        <w:rPr>
          <w:rFonts w:hint="eastAsia" w:ascii="Times New Roman" w:hAnsi="Times New Roman" w:eastAsia="仿宋" w:cs="仿宋"/>
          <w:b w:val="0"/>
          <w:bCs w:val="0"/>
          <w:color w:val="000000" w:themeColor="text1"/>
          <w:lang w:val="en-US" w:eastAsia="zh-CN" w:bidi="ar"/>
          <w14:textFill>
            <w14:solidFill>
              <w14:schemeClr w14:val="tx1"/>
            </w14:solidFill>
          </w14:textFill>
        </w:rPr>
        <w:t>项目部分尾款</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支付。</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（三）项目资金申报相符性。</w:t>
      </w:r>
      <w:r>
        <w:rPr>
          <w:rFonts w:hint="eastAsia" w:ascii="Times New Roman" w:hAnsi="Times New Roman" w:eastAsia="仿宋" w:cs="仿宋"/>
          <w:b w:val="0"/>
          <w:bCs w:val="0"/>
          <w:color w:val="000000" w:themeColor="text1"/>
          <w:lang w:val="zh-CN" w:bidi="ar"/>
          <w14:textFill>
            <w14:solidFill>
              <w14:schemeClr w14:val="tx1"/>
            </w14:solidFill>
          </w14:textFill>
        </w:rPr>
        <w:t>我校</w:t>
      </w:r>
      <w:r>
        <w:rPr>
          <w:rFonts w:hint="eastAsia" w:eastAsia="仿宋" w:cs="仿宋"/>
          <w:b w:val="0"/>
          <w:bCs w:val="0"/>
          <w:color w:val="000000" w:themeColor="text1"/>
          <w:lang w:val="en-US" w:eastAsia="zh-CN" w:bidi="ar"/>
          <w14:textFill>
            <w14:solidFill>
              <w14:schemeClr w14:val="tx1"/>
            </w14:solidFill>
          </w14:textFill>
        </w:rPr>
        <w:t>按规定</w:t>
      </w:r>
      <w:r>
        <w:rPr>
          <w:rFonts w:hint="eastAsia" w:ascii="Times New Roman" w:hAnsi="Times New Roman" w:eastAsia="仿宋" w:cs="仿宋"/>
          <w:b w:val="0"/>
          <w:bCs w:val="0"/>
          <w:color w:val="000000" w:themeColor="text1"/>
          <w:lang w:val="zh-CN" w:bidi="ar"/>
          <w14:textFill>
            <w14:solidFill>
              <w14:schemeClr w14:val="tx1"/>
            </w14:solidFill>
          </w14:textFill>
        </w:rPr>
        <w:t>进行了资金申报，申报目标切实可行。在实际执行过程中，</w:t>
      </w:r>
      <w:r>
        <w:rPr>
          <w:rFonts w:hint="eastAsia" w:eastAsia="仿宋" w:cs="仿宋"/>
          <w:b w:val="0"/>
          <w:bCs w:val="0"/>
          <w:color w:val="000000" w:themeColor="text1"/>
          <w:lang w:val="en-US" w:eastAsia="zh-CN" w:bidi="ar"/>
          <w14:textFill>
            <w14:solidFill>
              <w14:schemeClr w14:val="tx1"/>
            </w14:solidFill>
          </w14:textFill>
        </w:rPr>
        <w:t>项目工程尾款的支付</w:t>
      </w:r>
      <w:r>
        <w:rPr>
          <w:rFonts w:hint="eastAsia" w:ascii="Times New Roman" w:hAnsi="Times New Roman" w:eastAsia="仿宋" w:cs="仿宋"/>
          <w:b w:val="0"/>
          <w:bCs w:val="0"/>
          <w:color w:val="000000" w:themeColor="text1"/>
          <w:lang w:val="zh-CN" w:bidi="ar"/>
          <w14:textFill>
            <w14:solidFill>
              <w14:schemeClr w14:val="tx1"/>
            </w14:solidFill>
          </w14:textFill>
        </w:rPr>
        <w:t>，均经过校院委</w:t>
      </w:r>
      <w:r>
        <w:rPr>
          <w:rFonts w:hint="eastAsia" w:eastAsia="仿宋" w:cs="仿宋"/>
          <w:b w:val="0"/>
          <w:bCs w:val="0"/>
          <w:color w:val="000000" w:themeColor="text1"/>
          <w:lang w:val="zh-CN" w:bidi="ar"/>
          <w14:textFill>
            <w14:solidFill>
              <w14:schemeClr w14:val="tx1"/>
            </w14:solidFill>
          </w14:textFill>
        </w:rPr>
        <w:t>会</w:t>
      </w:r>
      <w:r>
        <w:rPr>
          <w:rFonts w:hint="eastAsia" w:ascii="Times New Roman" w:hAnsi="Times New Roman" w:eastAsia="仿宋" w:cs="仿宋"/>
          <w:b w:val="0"/>
          <w:bCs w:val="0"/>
          <w:color w:val="000000" w:themeColor="text1"/>
          <w:lang w:val="zh-CN" w:bidi="ar"/>
          <w14:textFill>
            <w14:solidFill>
              <w14:schemeClr w14:val="tx1"/>
            </w14:solidFill>
          </w14:textFill>
        </w:rPr>
        <w:t>审议，落实过程中，严格遵照相关标准执行</w:t>
      </w:r>
      <w:r>
        <w:rPr>
          <w:rFonts w:hint="eastAsia" w:eastAsia="仿宋" w:cs="仿宋"/>
          <w:b w:val="0"/>
          <w:bCs w:val="0"/>
          <w:color w:val="000000" w:themeColor="text1"/>
          <w:lang w:val="zh-CN" w:bidi="ar"/>
          <w14:textFill>
            <w14:solidFill>
              <w14:schemeClr w14:val="tx1"/>
            </w14:solidFill>
          </w14:textFill>
        </w:rPr>
        <w:t>，</w:t>
      </w:r>
      <w:r>
        <w:rPr>
          <w:rFonts w:hint="eastAsia" w:eastAsia="仿宋" w:cs="仿宋"/>
          <w:b w:val="0"/>
          <w:bCs w:val="0"/>
          <w:color w:val="000000" w:themeColor="text1"/>
          <w:lang w:val="en-US" w:eastAsia="zh-CN" w:bidi="ar"/>
          <w14:textFill>
            <w14:solidFill>
              <w14:schemeClr w14:val="tx1"/>
            </w14:solidFill>
          </w14:textFill>
        </w:rPr>
        <w:t>收齐各类报账佐证资料，请法律顾问多次审核把关，确保支付合规合法</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二、项目实施及管理情况</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楷体_GB2312" w:cs="楷体_GB2312"/>
          <w:bCs/>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（一）资金计划、到位及使用情况。</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b w:val="0"/>
          <w:bCs w:val="0"/>
          <w:color w:val="000000" w:themeColor="text1"/>
          <w:lang w:bidi="ar"/>
          <w14:textFill>
            <w14:solidFill>
              <w14:schemeClr w14:val="tx1"/>
            </w14:solidFill>
          </w14:textFill>
        </w:rPr>
      </w:pPr>
      <w:r>
        <w:rPr>
          <w:rFonts w:hint="eastAsia" w:ascii="Times New Roman" w:hAnsi="Times New Roman" w:eastAsia="楷体_GB2312" w:cs="楷体_GB2312"/>
          <w:bCs/>
          <w:color w:val="000000" w:themeColor="text1"/>
          <w:lang w:val="en-US" w:eastAsia="zh-CN" w:bidi="ar"/>
          <w14:textFill>
            <w14:solidFill>
              <w14:schemeClr w14:val="tx1"/>
            </w14:solidFill>
          </w14:textFill>
        </w:rPr>
        <w:t>1.</w:t>
      </w:r>
      <w:r>
        <w:rPr>
          <w:rFonts w:hint="eastAsia" w:ascii="Times New Roman" w:hAnsi="Times New Roman" w:eastAsia="楷体_GB2312" w:cs="楷体_GB2312"/>
          <w:bCs/>
          <w:color w:val="000000" w:themeColor="text1"/>
          <w:lang w:val="zh-CN" w:bidi="ar"/>
          <w14:textFill>
            <w14:solidFill>
              <w14:schemeClr w14:val="tx1"/>
            </w14:solidFill>
          </w14:textFill>
        </w:rPr>
        <w:t>资金计划及到位。</w:t>
      </w:r>
      <w:r>
        <w:rPr>
          <w:rFonts w:hint="eastAsia" w:ascii="Times New Roman" w:hAnsi="Times New Roman" w:eastAsia="仿宋" w:cs="仿宋"/>
          <w:b w:val="0"/>
          <w:bCs w:val="0"/>
          <w:color w:val="000000" w:themeColor="text1"/>
          <w:lang w:val="zh-CN" w:bidi="ar"/>
          <w14:textFill>
            <w14:solidFill>
              <w14:schemeClr w14:val="tx1"/>
            </w14:solidFill>
          </w14:textFill>
        </w:rPr>
        <w:t>该项目</w:t>
      </w:r>
      <w:r>
        <w:rPr>
          <w:rFonts w:hint="eastAsia" w:ascii="Times New Roman" w:hAnsi="Times New Roman" w:eastAsia="仿宋" w:cs="仿宋"/>
          <w:b w:val="0"/>
          <w:bCs w:val="0"/>
          <w:color w:val="000000" w:themeColor="text1"/>
          <w:lang w:bidi="ar"/>
          <w14:textFill>
            <w14:solidFill>
              <w14:schemeClr w14:val="tx1"/>
            </w14:solidFill>
          </w14:textFill>
        </w:rPr>
        <w:t>资金</w:t>
      </w:r>
      <w:r>
        <w:rPr>
          <w:rFonts w:hint="eastAsia" w:ascii="Times New Roman" w:hAnsi="Times New Roman" w:eastAsia="仿宋" w:cs="仿宋"/>
          <w:b w:val="0"/>
          <w:bCs w:val="0"/>
          <w:color w:val="000000" w:themeColor="text1"/>
          <w:lang w:val="en-US" w:eastAsia="zh-CN" w:bidi="ar"/>
          <w14:textFill>
            <w14:solidFill>
              <w14:schemeClr w14:val="tx1"/>
            </w14:solidFill>
          </w14:textFill>
        </w:rPr>
        <w:t>202</w:t>
      </w:r>
      <w:r>
        <w:rPr>
          <w:rFonts w:hint="eastAsia" w:eastAsia="仿宋" w:cs="仿宋"/>
          <w:b w:val="0"/>
          <w:bCs w:val="0"/>
          <w:color w:val="000000" w:themeColor="text1"/>
          <w:lang w:val="en-US" w:eastAsia="zh-CN" w:bidi="ar"/>
          <w14:textFill>
            <w14:solidFill>
              <w14:schemeClr w14:val="tx1"/>
            </w14:solidFill>
          </w14:textFill>
        </w:rPr>
        <w:t>5</w:t>
      </w:r>
      <w:r>
        <w:rPr>
          <w:rFonts w:hint="eastAsia" w:ascii="Times New Roman" w:hAnsi="Times New Roman" w:eastAsia="仿宋" w:cs="仿宋"/>
          <w:b w:val="0"/>
          <w:bCs w:val="0"/>
          <w:color w:val="000000" w:themeColor="text1"/>
          <w:lang w:val="en-US" w:eastAsia="zh-CN" w:bidi="ar"/>
          <w14:textFill>
            <w14:solidFill>
              <w14:schemeClr w14:val="tx1"/>
            </w14:solidFill>
          </w14:textFill>
        </w:rPr>
        <w:t>年</w:t>
      </w:r>
      <w:r>
        <w:rPr>
          <w:rFonts w:hint="eastAsia" w:eastAsia="仿宋" w:cs="仿宋"/>
          <w:b w:val="0"/>
          <w:bCs w:val="0"/>
          <w:color w:val="000000" w:themeColor="text1"/>
          <w:lang w:val="en-US" w:eastAsia="zh-CN" w:bidi="ar"/>
          <w14:textFill>
            <w14:solidFill>
              <w14:schemeClr w14:val="tx1"/>
            </w14:solidFill>
          </w14:textFill>
        </w:rPr>
        <w:t>市财政</w:t>
      </w:r>
      <w:r>
        <w:rPr>
          <w:rFonts w:hint="eastAsia" w:ascii="Times New Roman" w:hAnsi="Times New Roman" w:eastAsia="仿宋" w:cs="仿宋"/>
          <w:b w:val="0"/>
          <w:bCs w:val="0"/>
          <w:color w:val="000000" w:themeColor="text1"/>
          <w:lang w:val="en-US" w:eastAsia="zh-CN" w:bidi="ar"/>
          <w14:textFill>
            <w14:solidFill>
              <w14:schemeClr w14:val="tx1"/>
            </w14:solidFill>
          </w14:textFill>
        </w:rPr>
        <w:t>安排</w:t>
      </w:r>
      <w:r>
        <w:rPr>
          <w:rFonts w:hint="eastAsia" w:eastAsia="仿宋" w:cs="仿宋"/>
          <w:b w:val="0"/>
          <w:bCs w:val="0"/>
          <w:color w:val="000000" w:themeColor="text1"/>
          <w:lang w:val="en-US" w:eastAsia="zh-CN" w:bidi="ar"/>
          <w14:textFill>
            <w14:solidFill>
              <w14:schemeClr w14:val="tx1"/>
            </w14:solidFill>
          </w14:textFill>
        </w:rPr>
        <w:t>902</w:t>
      </w:r>
      <w:r>
        <w:rPr>
          <w:rFonts w:hint="eastAsia" w:eastAsia="仿宋" w:cs="Times New Roman"/>
          <w:b w:val="0"/>
          <w:bCs w:val="0"/>
          <w:color w:val="000000" w:themeColor="text1"/>
          <w:lang w:val="en-US" w:eastAsia="zh-CN" w:bidi="ar"/>
          <w14:textFill>
            <w14:solidFill>
              <w14:schemeClr w14:val="tx1"/>
            </w14:solidFill>
          </w14:textFill>
        </w:rPr>
        <w:t>万</w:t>
      </w:r>
      <w:r>
        <w:rPr>
          <w:rFonts w:hint="eastAsia" w:ascii="Times New Roman" w:hAnsi="Times New Roman" w:eastAsia="仿宋" w:cs="仿宋"/>
          <w:b w:val="0"/>
          <w:bCs w:val="0"/>
          <w:color w:val="000000" w:themeColor="text1"/>
          <w:lang w:bidi="ar"/>
          <w14:textFill>
            <w14:solidFill>
              <w14:schemeClr w14:val="tx1"/>
            </w14:solidFill>
          </w14:textFill>
        </w:rPr>
        <w:t>元，全部为一般公共预算财政拨款资金。资金到位及时。</w:t>
      </w:r>
    </w:p>
    <w:p>
      <w:pPr>
        <w:pStyle w:val="28"/>
        <w:keepNext w:val="0"/>
        <w:keepLines w:val="0"/>
        <w:pageBreakBefore w:val="0"/>
        <w:kinsoku/>
        <w:wordWrap/>
        <w:overflowPunct/>
        <w:topLinePunct w:val="0"/>
        <w:autoSpaceDE/>
        <w:autoSpaceDN/>
        <w:bidi w:val="0"/>
        <w:spacing w:line="540" w:lineRule="exact"/>
        <w:ind w:firstLine="640" w:firstLineChars="200"/>
        <w:jc w:val="left"/>
        <w:textAlignment w:val="auto"/>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pPr>
      <w:r>
        <w:rPr>
          <w:rFonts w:hint="eastAsia" w:ascii="Times New Roman" w:hAnsi="Times New Roman" w:eastAsia="楷体_GB2312" w:cs="楷体_GB2312"/>
          <w:bCs/>
          <w:color w:val="000000" w:themeColor="text1"/>
          <w:kern w:val="2"/>
          <w:sz w:val="32"/>
          <w:szCs w:val="24"/>
          <w:lang w:val="en-US" w:eastAsia="zh-CN" w:bidi="ar"/>
          <w14:textFill>
            <w14:solidFill>
              <w14:schemeClr w14:val="tx1"/>
            </w14:solidFill>
          </w14:textFill>
        </w:rPr>
        <w:t>2.</w:t>
      </w:r>
      <w:r>
        <w:rPr>
          <w:rFonts w:hint="eastAsia" w:ascii="Times New Roman" w:hAnsi="Times New Roman" w:eastAsia="楷体_GB2312" w:cs="楷体_GB2312"/>
          <w:bCs/>
          <w:color w:val="000000" w:themeColor="text1"/>
          <w:kern w:val="2"/>
          <w:sz w:val="32"/>
          <w:szCs w:val="24"/>
          <w:lang w:val="zh-CN" w:eastAsia="zh-CN" w:bidi="ar"/>
          <w14:textFill>
            <w14:solidFill>
              <w14:schemeClr w14:val="tx1"/>
            </w14:solidFill>
          </w14:textFill>
        </w:rPr>
        <w:t>资金使用。</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该项目严格按照资金支付规定和合同的履约标准进行支付，202</w:t>
      </w:r>
      <w:r>
        <w:rPr>
          <w:rFonts w:hint="eastAsia" w:ascii="Times New Roman" w:hAnsi="Times New Roman" w:eastAsia="仿宋" w:cs="仿宋"/>
          <w:b w:val="0"/>
          <w:bCs w:val="0"/>
          <w:color w:val="000000" w:themeColor="text1"/>
          <w:kern w:val="2"/>
          <w:sz w:val="32"/>
          <w:szCs w:val="24"/>
          <w:lang w:val="en-US" w:eastAsia="zh-CN" w:bidi="ar"/>
          <w14:textFill>
            <w14:solidFill>
              <w14:schemeClr w14:val="tx1"/>
            </w14:solidFill>
          </w14:textFill>
        </w:rPr>
        <w:t>5</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年，</w:t>
      </w:r>
      <w:r>
        <w:rPr>
          <w:rFonts w:hint="eastAsia" w:ascii="Times New Roman" w:hAnsi="Times New Roman" w:eastAsia="仿宋_GB2312" w:cs="仿宋_GB2312"/>
          <w:color w:val="000000" w:themeColor="text1"/>
          <w:kern w:val="2"/>
          <w:sz w:val="32"/>
          <w:szCs w:val="24"/>
          <w:lang w:eastAsia="zh-CN" w:bidi="ar"/>
          <w14:textFill>
            <w14:solidFill>
              <w14:schemeClr w14:val="tx1"/>
            </w14:solidFill>
          </w14:textFill>
        </w:rPr>
        <w:t>中共自贡市委员会</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党校迁建项目</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共计支出</w:t>
      </w:r>
      <w:r>
        <w:rPr>
          <w:rFonts w:hint="eastAsia" w:ascii="Times New Roman" w:hAnsi="Times New Roman" w:eastAsia="仿宋" w:cs="仿宋"/>
          <w:b w:val="0"/>
          <w:bCs w:val="0"/>
          <w:color w:val="000000" w:themeColor="text1"/>
          <w:kern w:val="2"/>
          <w:sz w:val="32"/>
          <w:szCs w:val="24"/>
          <w:lang w:val="en-US" w:eastAsia="zh-CN" w:bidi="ar"/>
          <w14:textFill>
            <w14:solidFill>
              <w14:schemeClr w14:val="tx1"/>
            </w14:solidFill>
          </w14:textFill>
        </w:rPr>
        <w:t>902万元</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，支付依据合规合法，与预算相符。</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eastAsia="zh-CN" w:bidi="ar"/>
          <w14:textFill>
            <w14:solidFill>
              <w14:schemeClr w14:val="tx1"/>
            </w14:solidFill>
          </w14:textFill>
        </w:rPr>
        <w:t>（二）项目财务管理情况。</w:t>
      </w:r>
      <w:r>
        <w:rPr>
          <w:rFonts w:hint="eastAsia" w:ascii="Times New Roman" w:hAnsi="Times New Roman" w:eastAsia="仿宋" w:cs="仿宋"/>
          <w:b w:val="0"/>
          <w:bCs w:val="0"/>
          <w:color w:val="000000" w:themeColor="text1"/>
          <w:lang w:val="zh-CN" w:bidi="ar"/>
          <w14:textFill>
            <w14:solidFill>
              <w14:schemeClr w14:val="tx1"/>
            </w14:solidFill>
          </w14:textFill>
        </w:rPr>
        <w:t>该项目严格执行我校</w:t>
      </w:r>
      <w:r>
        <w:rPr>
          <w:rFonts w:hint="eastAsia" w:eastAsia="仿宋" w:cs="仿宋"/>
          <w:b w:val="0"/>
          <w:bCs w:val="0"/>
          <w:color w:val="000000" w:themeColor="text1"/>
          <w:lang w:val="en-US" w:eastAsia="zh-CN" w:bidi="ar"/>
          <w14:textFill>
            <w14:solidFill>
              <w14:schemeClr w14:val="tx1"/>
            </w14:solidFill>
          </w14:textFill>
        </w:rPr>
        <w:t>各项</w:t>
      </w:r>
      <w:r>
        <w:rPr>
          <w:rFonts w:hint="eastAsia" w:ascii="Times New Roman" w:hAnsi="Times New Roman" w:eastAsia="仿宋" w:cs="仿宋"/>
          <w:b w:val="0"/>
          <w:bCs w:val="0"/>
          <w:color w:val="000000" w:themeColor="text1"/>
          <w:lang w:val="zh-CN" w:bidi="ar"/>
          <w14:textFill>
            <w14:solidFill>
              <w14:schemeClr w14:val="tx1"/>
            </w14:solidFill>
          </w14:textFill>
        </w:rPr>
        <w:t>制度规范，全年未出现重大工作失误和安全问题。资金支付环节，始终认真对照项目资金管理办法，专款专用，严格执行财务管理制度，处理及时，会计核算标准。</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（三）项目组织实施情况。</w:t>
      </w:r>
      <w:r>
        <w:rPr>
          <w:rFonts w:hint="eastAsia" w:ascii="Times New Roman" w:hAnsi="Times New Roman" w:eastAsia="仿宋" w:cs="仿宋"/>
          <w:b w:val="0"/>
          <w:bCs w:val="0"/>
          <w:color w:val="000000" w:themeColor="text1"/>
          <w:lang w:val="zh-CN" w:bidi="ar"/>
          <w14:textFill>
            <w14:solidFill>
              <w14:schemeClr w14:val="tx1"/>
            </w14:solidFill>
          </w14:textFill>
        </w:rPr>
        <w:t>该项目由财务科负责资金申报，</w:t>
      </w:r>
      <w:r>
        <w:rPr>
          <w:rFonts w:hint="eastAsia" w:ascii="Times New Roman" w:hAnsi="Times New Roman" w:eastAsia="仿宋" w:cs="仿宋"/>
          <w:b w:val="0"/>
          <w:bCs w:val="0"/>
          <w:color w:val="000000" w:themeColor="text1"/>
          <w:lang w:val="en-US" w:eastAsia="zh-CN" w:bidi="ar"/>
          <w14:textFill>
            <w14:solidFill>
              <w14:schemeClr w14:val="tx1"/>
            </w14:solidFill>
          </w14:textFill>
        </w:rPr>
        <w:t>后勤科</w:t>
      </w:r>
      <w:r>
        <w:rPr>
          <w:rFonts w:hint="eastAsia" w:eastAsia="仿宋" w:cs="仿宋"/>
          <w:b w:val="0"/>
          <w:bCs w:val="0"/>
          <w:color w:val="000000" w:themeColor="text1"/>
          <w:lang w:val="en-US" w:eastAsia="zh-CN" w:bidi="ar"/>
          <w14:textFill>
            <w14:solidFill>
              <w14:schemeClr w14:val="tx1"/>
            </w14:solidFill>
          </w14:textFill>
        </w:rPr>
        <w:t>收集工程款报账佐证资料</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val="zh-CN"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三、项目绩效情况</w:t>
      </w:r>
      <w:r>
        <w:rPr>
          <w:rFonts w:hint="eastAsia" w:ascii="Times New Roman" w:hAnsi="Times New Roman" w:eastAsia="黑体" w:cs="黑体"/>
          <w:b w:val="0"/>
          <w:bCs w:val="0"/>
          <w:color w:val="000000" w:themeColor="text1"/>
          <w:lang w:val="zh-CN" w:bidi="ar"/>
          <w14:textFill>
            <w14:solidFill>
              <w14:schemeClr w14:val="tx1"/>
            </w14:solidFill>
          </w14:textFill>
        </w:rPr>
        <w:tab/>
      </w:r>
    </w:p>
    <w:p>
      <w:pPr>
        <w:adjustRightInd w:val="0"/>
        <w:snapToGrid w:val="0"/>
        <w:spacing w:line="592" w:lineRule="exact"/>
        <w:ind w:firstLine="720"/>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（一）项目完成情况。</w:t>
      </w:r>
      <w:r>
        <w:rPr>
          <w:rFonts w:hint="eastAsia" w:ascii="Times New Roman" w:hAnsi="Times New Roman" w:eastAsia="仿宋" w:cs="仿宋"/>
          <w:b w:val="0"/>
          <w:bCs w:val="0"/>
          <w:color w:val="000000" w:themeColor="text1"/>
          <w:lang w:val="zh-CN" w:bidi="ar"/>
          <w14:textFill>
            <w14:solidFill>
              <w14:schemeClr w14:val="tx1"/>
            </w14:solidFill>
          </w14:textFill>
        </w:rPr>
        <w:t>项目所有绩效指标已完成。完成新校区</w:t>
      </w:r>
      <w:r>
        <w:rPr>
          <w:rFonts w:hint="eastAsia" w:ascii="Times New Roman" w:hAnsi="Times New Roman" w:eastAsia="仿宋" w:cs="仿宋"/>
          <w:b w:val="0"/>
          <w:bCs w:val="0"/>
          <w:color w:val="000000" w:themeColor="text1"/>
          <w:lang w:val="en-US" w:eastAsia="zh-CN" w:bidi="ar"/>
          <w14:textFill>
            <w14:solidFill>
              <w14:schemeClr w14:val="tx1"/>
            </w14:solidFill>
          </w14:textFill>
        </w:rPr>
        <w:t>1-4号楼修建面积15868平方米，工程验收合格率100%，完成竣工财务决算</w:t>
      </w:r>
      <w:r>
        <w:rPr>
          <w:rFonts w:hint="eastAsia" w:ascii="Times New Roman" w:hAnsi="Times New Roman" w:eastAsia="仿宋" w:cs="仿宋"/>
          <w:color w:val="000000" w:themeColor="text1"/>
          <w:lang w:val="en-US" w:eastAsia="zh-CN" w:bidi="ar"/>
          <w14:textFill>
            <w14:solidFill>
              <w14:schemeClr w14:val="tx1"/>
            </w14:solidFill>
          </w14:textFill>
        </w:rPr>
        <w:t>，</w:t>
      </w:r>
      <w:r>
        <w:rPr>
          <w:rFonts w:hint="eastAsia" w:ascii="Times New Roman" w:hAnsi="Times New Roman" w:cs="仿宋_GB2312"/>
          <w:color w:val="000000" w:themeColor="text1"/>
          <w:lang w:bidi="ar"/>
          <w14:textFill>
            <w14:solidFill>
              <w14:schemeClr w14:val="tx1"/>
            </w14:solidFill>
          </w14:textFill>
        </w:rPr>
        <w:t>确保了学校正常、高效运转</w:t>
      </w:r>
      <w:r>
        <w:rPr>
          <w:rFonts w:hint="eastAsia" w:ascii="Times New Roman" w:hAnsi="Times New Roman" w:cs="仿宋_GB2312"/>
          <w:color w:val="000000" w:themeColor="text1"/>
          <w:lang w:eastAsia="zh-CN" w:bidi="ar"/>
          <w14:textFill>
            <w14:solidFill>
              <w14:schemeClr w14:val="tx1"/>
            </w14:solidFill>
          </w14:textFill>
        </w:rPr>
        <w:t>，</w:t>
      </w:r>
      <w:r>
        <w:rPr>
          <w:rFonts w:hint="eastAsia" w:ascii="Times New Roman" w:hAnsi="Times New Roman" w:eastAsia="仿宋" w:cs="仿宋"/>
          <w:color w:val="000000" w:themeColor="text1"/>
          <w:lang w:val="en-US" w:eastAsia="zh-CN" w:bidi="ar"/>
          <w14:textFill>
            <w14:solidFill>
              <w14:schemeClr w14:val="tx1"/>
            </w14:solidFill>
          </w14:textFill>
        </w:rPr>
        <w:t>促进了党校干部培训事业发展。</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（二）项目效益情况。</w:t>
      </w:r>
      <w:r>
        <w:rPr>
          <w:rFonts w:hint="eastAsia" w:ascii="Times New Roman" w:hAnsi="Times New Roman" w:eastAsia="仿宋" w:cs="仿宋"/>
          <w:b w:val="0"/>
          <w:bCs w:val="0"/>
          <w:color w:val="000000" w:themeColor="text1"/>
          <w:lang w:val="zh-CN" w:bidi="ar"/>
          <w14:textFill>
            <w14:solidFill>
              <w14:schemeClr w14:val="tx1"/>
            </w14:solidFill>
          </w14:textFill>
        </w:rPr>
        <w:t>各类设施设备使用率高，均能正常运行，能满足培训主阵地需求，未出现教职工投诉现象，满意度较高。</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四、问题及建议</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eastAsia="仿宋" w:cs="仿宋"/>
          <w:b w:val="0"/>
          <w:bCs w:val="0"/>
          <w:color w:val="000000" w:themeColor="text1"/>
          <w:lang w:val="en-US" w:eastAsia="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（一）存在的问题。</w:t>
      </w:r>
      <w:r>
        <w:rPr>
          <w:rFonts w:hint="eastAsia" w:eastAsia="仿宋" w:cs="仿宋"/>
          <w:b w:val="0"/>
          <w:bCs w:val="0"/>
          <w:color w:val="000000" w:themeColor="text1"/>
          <w:lang w:val="en-US" w:eastAsia="zh-CN" w:bidi="ar"/>
          <w14:textFill>
            <w14:solidFill>
              <w14:schemeClr w14:val="tx1"/>
            </w14:solidFill>
          </w14:textFill>
        </w:rPr>
        <w:t>无。</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楷体_GB2312" w:cs="仿宋"/>
          <w:b w:val="0"/>
          <w:bCs w:val="0"/>
          <w:color w:val="000000" w:themeColor="text1"/>
          <w:lang w:val="zh-CN" w:eastAsia="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（二）相关建议。</w:t>
      </w:r>
      <w:r>
        <w:rPr>
          <w:rFonts w:hint="eastAsia" w:eastAsia="仿宋" w:cs="仿宋"/>
          <w:b w:val="0"/>
          <w:bCs w:val="0"/>
          <w:color w:val="000000" w:themeColor="text1"/>
          <w:lang w:val="en-US" w:eastAsia="zh-CN" w:bidi="ar"/>
          <w14:textFill>
            <w14:solidFill>
              <w14:schemeClr w14:val="tx1"/>
            </w14:solidFill>
          </w14:textFill>
        </w:rPr>
        <w:t>无。</w:t>
      </w: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5"/>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57" w:name="OLE_LINK1"/>
      <w:r>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项目支出绩效自评报告</w:t>
      </w:r>
    </w:p>
    <w:p>
      <w:pPr>
        <w:keepNext w:val="0"/>
        <w:keepLines w:val="0"/>
        <w:pageBreakBefore w:val="0"/>
        <w:kinsoku/>
        <w:wordWrap/>
        <w:overflowPunct/>
        <w:topLinePunct w:val="0"/>
        <w:autoSpaceDE/>
        <w:autoSpaceDN/>
        <w:bidi w:val="0"/>
        <w:spacing w:line="540" w:lineRule="exact"/>
        <w:jc w:val="center"/>
        <w:textAlignment w:val="auto"/>
        <w:rPr>
          <w:rFonts w:ascii="Times New Roman" w:hAnsi="Times New Roman" w:eastAsia="仿宋_GB2312" w:cs="仿宋_GB2312"/>
          <w:color w:val="000000" w:themeColor="text1"/>
          <w:sz w:val="32"/>
          <w:szCs w:val="24"/>
          <w:lang w:bidi="ar"/>
          <w14:textFill>
            <w14:solidFill>
              <w14:schemeClr w14:val="tx1"/>
            </w14:solidFill>
          </w14:textFill>
        </w:rPr>
      </w:pPr>
      <w:r>
        <w:rPr>
          <w:rFonts w:hint="eastAsia" w:ascii="Times New Roman" w:hAnsi="Times New Roman" w:eastAsia="仿宋_GB2312" w:cs="仿宋_GB2312"/>
          <w:color w:val="000000" w:themeColor="text1"/>
          <w:sz w:val="32"/>
          <w:szCs w:val="24"/>
          <w:lang w:bidi="ar"/>
          <w14:textFill>
            <w14:solidFill>
              <w14:schemeClr w14:val="tx1"/>
            </w14:solidFill>
          </w14:textFill>
        </w:rPr>
        <w:t>（</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市委党校</w:t>
      </w:r>
      <w:r>
        <w:rPr>
          <w:rFonts w:hint="eastAsia" w:ascii="Times New Roman" w:hAnsi="Times New Roman" w:cs="仿宋_GB2312"/>
          <w:color w:val="000000" w:themeColor="text1"/>
          <w:sz w:val="32"/>
          <w:szCs w:val="24"/>
          <w:lang w:eastAsia="zh-CN" w:bidi="ar"/>
          <w14:textFill>
            <w14:solidFill>
              <w14:schemeClr w14:val="tx1"/>
            </w14:solidFill>
          </w14:textFill>
        </w:rPr>
        <w:t>教学</w:t>
      </w:r>
      <w:r>
        <w:rPr>
          <w:rFonts w:hint="eastAsia" w:ascii="Times New Roman" w:hAnsi="Times New Roman" w:eastAsia="仿宋_GB2312" w:cs="仿宋_GB2312"/>
          <w:color w:val="000000" w:themeColor="text1"/>
          <w:sz w:val="32"/>
          <w:szCs w:val="24"/>
          <w:lang w:bidi="ar"/>
          <w14:textFill>
            <w14:solidFill>
              <w14:schemeClr w14:val="tx1"/>
            </w14:solidFill>
          </w14:textFill>
        </w:rPr>
        <w:t>科研</w:t>
      </w:r>
      <w:r>
        <w:rPr>
          <w:rFonts w:hint="eastAsia" w:ascii="Times New Roman" w:hAnsi="Times New Roman" w:cs="仿宋_GB2312"/>
          <w:color w:val="000000" w:themeColor="text1"/>
          <w:sz w:val="32"/>
          <w:szCs w:val="24"/>
          <w:lang w:eastAsia="zh-CN" w:bidi="ar"/>
          <w14:textFill>
            <w14:solidFill>
              <w14:schemeClr w14:val="tx1"/>
            </w14:solidFill>
          </w14:textFill>
        </w:rPr>
        <w:t>培训</w:t>
      </w:r>
      <w:r>
        <w:rPr>
          <w:rFonts w:hint="eastAsia" w:ascii="Times New Roman" w:hAnsi="Times New Roman" w:eastAsia="仿宋_GB2312" w:cs="仿宋_GB2312"/>
          <w:color w:val="000000" w:themeColor="text1"/>
          <w:sz w:val="32"/>
          <w:szCs w:val="24"/>
          <w:lang w:bidi="ar"/>
          <w14:textFill>
            <w14:solidFill>
              <w14:schemeClr w14:val="tx1"/>
            </w14:solidFill>
          </w14:textFill>
        </w:rPr>
        <w:t>经费</w:t>
      </w:r>
      <w:r>
        <w:rPr>
          <w:rFonts w:hint="eastAsia" w:ascii="Times New Roman" w:hAnsi="Times New Roman" w:cs="仿宋_GB2312"/>
          <w:color w:val="000000" w:themeColor="text1"/>
          <w:sz w:val="32"/>
          <w:szCs w:val="24"/>
          <w:lang w:eastAsia="zh-CN" w:bidi="ar"/>
          <w14:textFill>
            <w14:solidFill>
              <w14:schemeClr w14:val="tx1"/>
            </w14:solidFill>
          </w14:textFill>
        </w:rPr>
        <w:t>项目</w:t>
      </w:r>
      <w:r>
        <w:rPr>
          <w:rFonts w:hint="eastAsia" w:ascii="Times New Roman" w:hAnsi="Times New Roman" w:eastAsia="仿宋_GB2312" w:cs="仿宋_GB2312"/>
          <w:color w:val="000000" w:themeColor="text1"/>
          <w:sz w:val="32"/>
          <w:szCs w:val="24"/>
          <w:lang w:bidi="ar"/>
          <w14:textFill>
            <w14:solidFill>
              <w14:schemeClr w14:val="tx1"/>
            </w14:solidFill>
          </w14:textFill>
        </w:rPr>
        <w:t>）</w:t>
      </w:r>
    </w:p>
    <w:p>
      <w:pPr>
        <w:keepNext w:val="0"/>
        <w:keepLines w:val="0"/>
        <w:pageBreakBefore w:val="0"/>
        <w:kinsoku/>
        <w:wordWrap/>
        <w:overflowPunct/>
        <w:topLinePunct w:val="0"/>
        <w:autoSpaceDE/>
        <w:autoSpaceDN/>
        <w:bidi w:val="0"/>
        <w:spacing w:line="540" w:lineRule="exact"/>
        <w:jc w:val="left"/>
        <w:textAlignment w:val="auto"/>
        <w:rPr>
          <w:rFonts w:hint="eastAsia" w:ascii="Times New Roman" w:hAnsi="Times New Roman" w:eastAsia="仿宋_GB2312" w:cs="Times New Roman"/>
          <w:color w:val="000000" w:themeColor="text1"/>
          <w:sz w:val="32"/>
          <w:szCs w:val="24"/>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黑体" w:cs="Times New Roman"/>
          <w:color w:val="000000" w:themeColor="text1"/>
          <w:sz w:val="32"/>
          <w:szCs w:val="24"/>
          <w:lang w:val="zh-CN"/>
          <w14:textFill>
            <w14:solidFill>
              <w14:schemeClr w14:val="tx1"/>
            </w14:solidFill>
          </w14:textFill>
        </w:rPr>
      </w:pPr>
      <w:r>
        <w:rPr>
          <w:rFonts w:hint="eastAsia" w:ascii="Times New Roman" w:hAnsi="Times New Roman" w:eastAsia="黑体" w:cs="黑体"/>
          <w:color w:val="000000" w:themeColor="text1"/>
          <w:sz w:val="32"/>
          <w:szCs w:val="24"/>
          <w:lang w:bidi="ar"/>
          <w14:textFill>
            <w14:solidFill>
              <w14:schemeClr w14:val="tx1"/>
            </w14:solidFill>
          </w14:textFill>
        </w:rPr>
        <w:t>一、</w:t>
      </w:r>
      <w:r>
        <w:rPr>
          <w:rFonts w:hint="eastAsia" w:ascii="Times New Roman" w:hAnsi="Times New Roman" w:eastAsia="黑体" w:cs="黑体"/>
          <w:color w:val="000000" w:themeColor="text1"/>
          <w:sz w:val="32"/>
          <w:szCs w:val="24"/>
          <w:lang w:val="zh-CN" w:bidi="ar"/>
          <w14:textFill>
            <w14:solidFill>
              <w14:schemeClr w14:val="tx1"/>
            </w14:solidFill>
          </w14:textFill>
        </w:rPr>
        <w:t>项目概况</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color w:val="000000" w:themeColor="text1"/>
          <w:sz w:val="32"/>
          <w:szCs w:val="24"/>
          <w:lang w:val="en-US" w:eastAsia="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（一）项目资金申报及批复情况。</w:t>
      </w:r>
      <w:r>
        <w:rPr>
          <w:rFonts w:hint="eastAsia" w:ascii="Times New Roman" w:hAnsi="Times New Roman" w:eastAsia="仿宋" w:cs="仿宋"/>
          <w:color w:val="000000" w:themeColor="text1"/>
          <w:sz w:val="32"/>
          <w:szCs w:val="24"/>
          <w:lang w:val="zh-CN" w:bidi="ar"/>
          <w14:textFill>
            <w14:solidFill>
              <w14:schemeClr w14:val="tx1"/>
            </w14:solidFill>
          </w14:textFill>
        </w:rPr>
        <w:t>该项目资金年初预算即申报数为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22</w:t>
      </w:r>
      <w:r>
        <w:rPr>
          <w:rFonts w:hint="eastAsia" w:ascii="Times New Roman" w:hAnsi="Times New Roman" w:eastAsia="仿宋" w:cs="仿宋"/>
          <w:color w:val="000000" w:themeColor="text1"/>
          <w:sz w:val="32"/>
          <w:szCs w:val="24"/>
          <w:lang w:val="zh-CN" w:bidi="ar"/>
          <w14:textFill>
            <w14:solidFill>
              <w14:schemeClr w14:val="tx1"/>
            </w14:solidFill>
          </w14:textFill>
        </w:rPr>
        <w:t>万元，全部为一般公共预算财政拨款资金。全年调整预算数为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16.76</w:t>
      </w:r>
      <w:r>
        <w:rPr>
          <w:rFonts w:hint="eastAsia" w:ascii="Times New Roman" w:hAnsi="Times New Roman" w:eastAsia="仿宋" w:cs="仿宋"/>
          <w:color w:val="000000" w:themeColor="text1"/>
          <w:sz w:val="32"/>
          <w:szCs w:val="24"/>
          <w:lang w:val="zh-CN" w:bidi="ar"/>
          <w14:textFill>
            <w14:solidFill>
              <w14:schemeClr w14:val="tx1"/>
            </w14:solidFill>
          </w14:textFill>
        </w:rPr>
        <w:t>万元，实际执行数为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16.76</w:t>
      </w:r>
      <w:r>
        <w:rPr>
          <w:rFonts w:hint="eastAsia" w:ascii="Times New Roman" w:hAnsi="Times New Roman" w:eastAsia="仿宋" w:cs="仿宋"/>
          <w:color w:val="000000" w:themeColor="text1"/>
          <w:sz w:val="32"/>
          <w:szCs w:val="24"/>
          <w:lang w:val="zh-CN" w:bidi="ar"/>
          <w14:textFill>
            <w14:solidFill>
              <w14:schemeClr w14:val="tx1"/>
            </w14:solidFill>
          </w14:textFill>
        </w:rPr>
        <w:t>万元，调整原因为单位内部调剂部分经费到其他项目使用。符合资金管理办法等相关规定。</w:t>
      </w:r>
    </w:p>
    <w:p>
      <w:pPr>
        <w:keepNext w:val="0"/>
        <w:keepLines w:val="0"/>
        <w:pageBreakBefore w:val="0"/>
        <w:widowControl/>
        <w:kinsoku/>
        <w:wordWrap/>
        <w:overflowPunct/>
        <w:topLinePunct w:val="0"/>
        <w:autoSpaceDE/>
        <w:autoSpaceDN/>
        <w:bidi w:val="0"/>
        <w:spacing w:line="540" w:lineRule="exact"/>
        <w:ind w:firstLine="640" w:firstLineChars="200"/>
        <w:jc w:val="left"/>
        <w:textAlignment w:val="auto"/>
        <w:rPr>
          <w:rFonts w:hint="default" w:ascii="Times New Roman" w:hAnsi="Times New Roman" w:eastAsia="仿宋_GB2312" w:cs="仿宋_GB2312"/>
          <w:color w:val="000000" w:themeColor="text1"/>
          <w:sz w:val="32"/>
          <w:szCs w:val="24"/>
          <w:lang w:val="en-US" w:eastAsia="zh-CN" w:bidi="ar"/>
          <w14:textFill>
            <w14:solidFill>
              <w14:schemeClr w14:val="tx1"/>
            </w14:solidFill>
          </w14:textFill>
        </w:rPr>
      </w:pPr>
      <w:r>
        <w:rPr>
          <w:rFonts w:hint="eastAsia" w:ascii="Times New Roman" w:hAnsi="Times New Roman" w:eastAsia="楷体_GB2312" w:cs="楷体_GB2312"/>
          <w:bCs/>
          <w:color w:val="000000" w:themeColor="text1"/>
          <w:sz w:val="32"/>
          <w:szCs w:val="24"/>
          <w:highlight w:val="none"/>
          <w:lang w:val="zh-CN" w:bidi="ar"/>
          <w14:textFill>
            <w14:solidFill>
              <w14:schemeClr w14:val="tx1"/>
            </w14:solidFill>
          </w14:textFill>
        </w:rPr>
        <w:t>（二）项目绩效目标。</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本年度</w:t>
      </w:r>
      <w:r>
        <w:rPr>
          <w:rFonts w:hint="eastAsia" w:ascii="Times New Roman" w:hAnsi="Times New Roman" w:cs="仿宋_GB2312"/>
          <w:color w:val="000000" w:themeColor="text1"/>
          <w:sz w:val="32"/>
          <w:szCs w:val="24"/>
          <w:lang w:val="zh-CN" w:bidi="ar"/>
          <w14:textFill>
            <w14:solidFill>
              <w14:schemeClr w14:val="tx1"/>
            </w14:solidFill>
          </w14:textFill>
        </w:rPr>
        <w:t>计划完成</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培训科研工作管理人员及教师</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40</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人，出刊《盐都论坛》4期，开展对外学术交流单位</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4</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0个，营造良好学术氛围，促进科研工作高质量发展。学员宿舍陈列图书</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1800册以上，进一步提升图书服务水平</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仿宋_GB2312" w:cs="Times New Roman"/>
          <w:color w:val="000000" w:themeColor="text1"/>
          <w:sz w:val="32"/>
          <w:szCs w:val="24"/>
          <w:lang w:val="zh-CN"/>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（三）项目资金申报相符性。</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我校紧紧围绕</w:t>
      </w:r>
      <w:r>
        <w:rPr>
          <w:rFonts w:hint="eastAsia" w:ascii="Times New Roman" w:hAnsi="Times New Roman" w:cs="仿宋_GB2312"/>
          <w:color w:val="000000" w:themeColor="text1"/>
          <w:sz w:val="32"/>
          <w:szCs w:val="24"/>
          <w:lang w:val="zh-CN" w:bidi="ar"/>
          <w14:textFill>
            <w14:solidFill>
              <w14:schemeClr w14:val="tx1"/>
            </w14:solidFill>
          </w14:textFill>
        </w:rPr>
        <w:t>教学</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科研专项工作主要目标开展工作，</w:t>
      </w:r>
      <w:r>
        <w:rPr>
          <w:rFonts w:hint="eastAsia" w:ascii="Times New Roman" w:hAnsi="Times New Roman" w:eastAsia="仿宋_GB2312" w:cs="仿宋_GB2312"/>
          <w:color w:val="000000" w:themeColor="text1"/>
          <w:sz w:val="32"/>
          <w:szCs w:val="24"/>
          <w:lang w:val="zh-CN" w:eastAsia="zh-CN" w:bidi="ar"/>
          <w14:textFill>
            <w14:solidFill>
              <w14:schemeClr w14:val="tx1"/>
            </w14:solidFill>
          </w14:textFill>
        </w:rPr>
        <w:t>从</w:t>
      </w:r>
      <w:r>
        <w:rPr>
          <w:rFonts w:hint="eastAsia" w:ascii="Times New Roman" w:hAnsi="Times New Roman" w:cs="仿宋_GB2312"/>
          <w:color w:val="000000" w:themeColor="text1"/>
          <w:sz w:val="32"/>
          <w:szCs w:val="24"/>
          <w:lang w:val="zh-CN" w:eastAsia="zh-CN" w:bidi="ar"/>
          <w14:textFill>
            <w14:solidFill>
              <w14:schemeClr w14:val="tx1"/>
            </w14:solidFill>
          </w14:textFill>
        </w:rPr>
        <w:t>科研工作培训、学员宿舍图书服务、促进对外学术交流</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等方面申报经费，申报金额与预算金额基本一致。</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黑体" w:cs="Times New Roman"/>
          <w:color w:val="000000" w:themeColor="text1"/>
          <w:sz w:val="32"/>
          <w:szCs w:val="24"/>
          <w14:textFill>
            <w14:solidFill>
              <w14:schemeClr w14:val="tx1"/>
            </w14:solidFill>
          </w14:textFill>
        </w:rPr>
      </w:pPr>
      <w:r>
        <w:rPr>
          <w:rFonts w:hint="eastAsia" w:ascii="Times New Roman" w:hAnsi="Times New Roman" w:eastAsia="黑体" w:cs="黑体"/>
          <w:color w:val="000000" w:themeColor="text1"/>
          <w:sz w:val="32"/>
          <w:szCs w:val="24"/>
          <w:lang w:bidi="ar"/>
          <w14:textFill>
            <w14:solidFill>
              <w14:schemeClr w14:val="tx1"/>
            </w14:solidFill>
          </w14:textFill>
        </w:rPr>
        <w:t>二、项目实施及管理情况</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楷体_GB2312" w:cs="Times New Roman"/>
          <w:color w:val="000000" w:themeColor="text1"/>
          <w:sz w:val="32"/>
          <w:szCs w:val="24"/>
          <w:lang w:val="zh-CN"/>
          <w14:textFill>
            <w14:solidFill>
              <w14:schemeClr w14:val="tx1"/>
            </w14:solidFill>
          </w14:textFill>
        </w:rPr>
      </w:pPr>
      <w:r>
        <w:rPr>
          <w:rFonts w:hint="eastAsia" w:ascii="Times New Roman" w:hAnsi="Times New Roman" w:eastAsia="楷体_GB2312" w:cs="楷体_GB2312"/>
          <w:color w:val="000000" w:themeColor="text1"/>
          <w:sz w:val="32"/>
          <w:szCs w:val="24"/>
          <w:lang w:val="zh-CN" w:bidi="ar"/>
          <w14:textFill>
            <w14:solidFill>
              <w14:schemeClr w14:val="tx1"/>
            </w14:solidFill>
          </w14:textFill>
        </w:rPr>
        <w:t>（一）资金计划、到位及使用情况。</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_GB2312" w:cs="Times New Roman"/>
          <w:color w:val="000000" w:themeColor="text1"/>
          <w:sz w:val="32"/>
          <w:szCs w:val="24"/>
          <w:lang w:val="zh-CN"/>
          <w14:textFill>
            <w14:solidFill>
              <w14:schemeClr w14:val="tx1"/>
            </w14:solidFill>
          </w14:textFill>
        </w:rPr>
      </w:pPr>
      <w:r>
        <w:rPr>
          <w:rFonts w:ascii="Times New Roman" w:hAnsi="Times New Roman" w:eastAsia="楷体_GB2312" w:cs="Times New Roman"/>
          <w:color w:val="000000" w:themeColor="text1"/>
          <w:sz w:val="32"/>
          <w:szCs w:val="24"/>
          <w:lang w:val="zh-CN" w:bidi="ar"/>
          <w14:textFill>
            <w14:solidFill>
              <w14:schemeClr w14:val="tx1"/>
            </w14:solidFill>
          </w14:textFill>
        </w:rPr>
        <w:t>1</w:t>
      </w:r>
      <w:r>
        <w:rPr>
          <w:rFonts w:hint="eastAsia" w:ascii="Times New Roman" w:hAnsi="Times New Roman" w:eastAsia="楷体_GB2312" w:cs="楷体_GB2312"/>
          <w:color w:val="000000" w:themeColor="text1"/>
          <w:sz w:val="32"/>
          <w:szCs w:val="24"/>
          <w:lang w:val="zh-CN" w:bidi="ar"/>
          <w14:textFill>
            <w14:solidFill>
              <w14:schemeClr w14:val="tx1"/>
            </w14:solidFill>
          </w14:textFill>
        </w:rPr>
        <w:t>．资金计划及到位。</w:t>
      </w:r>
      <w:r>
        <w:rPr>
          <w:rFonts w:hint="eastAsia" w:ascii="Times New Roman" w:hAnsi="Times New Roman" w:eastAsia="仿宋" w:cs="仿宋"/>
          <w:color w:val="000000" w:themeColor="text1"/>
          <w:sz w:val="32"/>
          <w:szCs w:val="24"/>
          <w:lang w:val="zh-CN" w:bidi="ar"/>
          <w14:textFill>
            <w14:solidFill>
              <w14:schemeClr w14:val="tx1"/>
            </w14:solidFill>
          </w14:textFill>
        </w:rPr>
        <w:t>该项目资金年初预算即申报数为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22</w:t>
      </w:r>
      <w:r>
        <w:rPr>
          <w:rFonts w:hint="eastAsia" w:ascii="Times New Roman" w:hAnsi="Times New Roman" w:eastAsia="仿宋" w:cs="仿宋"/>
          <w:color w:val="000000" w:themeColor="text1"/>
          <w:sz w:val="32"/>
          <w:szCs w:val="24"/>
          <w:lang w:val="zh-CN" w:bidi="ar"/>
          <w14:textFill>
            <w14:solidFill>
              <w14:schemeClr w14:val="tx1"/>
            </w14:solidFill>
          </w14:textFill>
        </w:rPr>
        <w:t>万元，全部为一般公共预算财政拨款资金。全年调整预算数为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16.76</w:t>
      </w:r>
      <w:r>
        <w:rPr>
          <w:rFonts w:hint="eastAsia" w:ascii="Times New Roman" w:hAnsi="Times New Roman" w:eastAsia="仿宋" w:cs="仿宋"/>
          <w:color w:val="000000" w:themeColor="text1"/>
          <w:sz w:val="32"/>
          <w:szCs w:val="24"/>
          <w:lang w:val="zh-CN" w:bidi="ar"/>
          <w14:textFill>
            <w14:solidFill>
              <w14:schemeClr w14:val="tx1"/>
            </w14:solidFill>
          </w14:textFill>
        </w:rPr>
        <w:t>万元，实际执行数为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16.76</w:t>
      </w:r>
      <w:r>
        <w:rPr>
          <w:rFonts w:hint="eastAsia" w:ascii="Times New Roman" w:hAnsi="Times New Roman" w:eastAsia="仿宋" w:cs="仿宋"/>
          <w:color w:val="000000" w:themeColor="text1"/>
          <w:sz w:val="32"/>
          <w:szCs w:val="24"/>
          <w:lang w:val="zh-CN" w:bidi="ar"/>
          <w14:textFill>
            <w14:solidFill>
              <w14:schemeClr w14:val="tx1"/>
            </w14:solidFill>
          </w14:textFill>
        </w:rPr>
        <w:t>万元，资金</w:t>
      </w:r>
      <w:r>
        <w:rPr>
          <w:rFonts w:ascii="Times New Roman" w:hAnsi="Times New Roman" w:eastAsia="仿宋" w:cs="仿宋"/>
          <w:color w:val="000000" w:themeColor="text1"/>
          <w:sz w:val="32"/>
          <w:szCs w:val="24"/>
          <w:lang w:val="zh-CN" w:bidi="ar"/>
          <w14:textFill>
            <w14:solidFill>
              <w14:schemeClr w14:val="tx1"/>
            </w14:solidFill>
          </w14:textFill>
        </w:rPr>
        <w:t>到位及时。</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仿宋_GB2312" w:cs="仿宋_GB2312"/>
          <w:color w:val="000000" w:themeColor="text1"/>
          <w:sz w:val="32"/>
          <w:szCs w:val="24"/>
          <w:lang w:val="zh-CN" w:bidi="ar"/>
          <w14:textFill>
            <w14:solidFill>
              <w14:schemeClr w14:val="tx1"/>
            </w14:solidFill>
          </w14:textFill>
        </w:rPr>
      </w:pPr>
      <w:r>
        <w:rPr>
          <w:rFonts w:ascii="Times New Roman" w:hAnsi="Times New Roman" w:eastAsia="楷体_GB2312" w:cs="Times New Roman"/>
          <w:color w:val="000000" w:themeColor="text1"/>
          <w:sz w:val="32"/>
          <w:szCs w:val="24"/>
          <w:lang w:val="zh-CN" w:bidi="ar"/>
          <w14:textFill>
            <w14:solidFill>
              <w14:schemeClr w14:val="tx1"/>
            </w14:solidFill>
          </w14:textFill>
        </w:rPr>
        <w:t>2</w:t>
      </w:r>
      <w:r>
        <w:rPr>
          <w:rFonts w:hint="eastAsia" w:ascii="Times New Roman" w:hAnsi="Times New Roman" w:eastAsia="楷体_GB2312" w:cs="楷体_GB2312"/>
          <w:color w:val="000000" w:themeColor="text1"/>
          <w:sz w:val="32"/>
          <w:szCs w:val="24"/>
          <w:lang w:val="zh-CN" w:bidi="ar"/>
          <w14:textFill>
            <w14:solidFill>
              <w14:schemeClr w14:val="tx1"/>
            </w14:solidFill>
          </w14:textFill>
        </w:rPr>
        <w:t>．资金使用。</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教学科研培训专项经费资金的实际支出严格按照资金开支范围、标准及进度支付，支付依据合规合法，资金支付与预算相符。</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_GB2312" w:cs="仿宋_GB2312"/>
          <w:bCs/>
          <w:color w:val="000000" w:themeColor="text1"/>
          <w:sz w:val="32"/>
          <w:szCs w:val="24"/>
          <w:lang w:val="zh-CN" w:eastAsia="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（二）项目财务管理情况。</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学校严格执行国家财经法律法规、地方财政资金管理规定及校内财务管理制度，对教学科研培训经费实行专项管理、专款专用，规范资金审批、支付、核算全流程，确保财务管控严谨规范，资金使用安全高效。</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jc w:val="left"/>
        <w:textAlignment w:val="auto"/>
        <w:rPr>
          <w:rFonts w:ascii="Times New Roman" w:hAnsi="Times New Roman" w:eastAsia="仿宋_GB2312" w:cs="仿宋_GB2312"/>
          <w:color w:val="000000" w:themeColor="text1"/>
          <w:sz w:val="32"/>
          <w:szCs w:val="24"/>
          <w:lang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（三）项目组织实施情况。</w:t>
      </w:r>
      <w:r>
        <w:rPr>
          <w:rFonts w:hint="eastAsia" w:ascii="Times New Roman" w:hAnsi="Times New Roman" w:cs="仿宋_GB2312"/>
          <w:color w:val="000000" w:themeColor="text1"/>
          <w:sz w:val="32"/>
          <w:szCs w:val="24"/>
          <w:lang w:eastAsia="zh-CN" w:bidi="ar"/>
          <w14:textFill>
            <w14:solidFill>
              <w14:schemeClr w14:val="tx1"/>
            </w14:solidFill>
          </w14:textFill>
        </w:rPr>
        <w:t>严格按照</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《自贡市市级机关培训费管理</w:t>
      </w:r>
      <w:r>
        <w:rPr>
          <w:rFonts w:hint="eastAsia" w:ascii="Times New Roman" w:hAnsi="Times New Roman" w:cs="仿宋_GB2312"/>
          <w:color w:val="000000" w:themeColor="text1"/>
          <w:sz w:val="32"/>
          <w:szCs w:val="24"/>
          <w:lang w:val="zh-CN" w:bidi="ar"/>
          <w14:textFill>
            <w14:solidFill>
              <w14:schemeClr w14:val="tx1"/>
            </w14:solidFill>
          </w14:textFill>
        </w:rPr>
        <w:t>实施</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办法》</w:t>
      </w:r>
      <w:r>
        <w:rPr>
          <w:rFonts w:hint="eastAsia" w:cs="仿宋_GB2312"/>
          <w:color w:val="000000" w:themeColor="text1"/>
          <w:sz w:val="32"/>
          <w:szCs w:val="24"/>
          <w:lang w:val="zh-CN" w:eastAsia="zh-CN" w:bidi="ar"/>
          <w14:textFill>
            <w14:solidFill>
              <w14:schemeClr w14:val="tx1"/>
            </w14:solidFill>
          </w14:textFill>
        </w:rPr>
        <w:t>进行科研培训经费支出</w:t>
      </w:r>
      <w:r>
        <w:rPr>
          <w:rFonts w:hint="eastAsia" w:ascii="Times New Roman" w:hAnsi="Times New Roman" w:eastAsia="仿宋_GB2312" w:cs="仿宋_GB2312"/>
          <w:color w:val="000000" w:themeColor="text1"/>
          <w:sz w:val="32"/>
          <w:szCs w:val="24"/>
          <w:lang w:bidi="ar"/>
          <w14:textFill>
            <w14:solidFill>
              <w14:schemeClr w14:val="tx1"/>
            </w14:solidFill>
          </w14:textFill>
        </w:rPr>
        <w:t>，</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坚决做到厉行节约、规范有序。</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严格按照</w:t>
      </w:r>
      <w:r>
        <w:rPr>
          <w:rFonts w:hint="eastAsia" w:ascii="Times New Roman" w:hAnsi="Times New Roman" w:cs="仿宋_GB2312"/>
          <w:color w:val="000000" w:themeColor="text1"/>
          <w:sz w:val="32"/>
          <w:szCs w:val="24"/>
          <w:lang w:val="en-US" w:eastAsia="zh-CN" w:bidi="ar"/>
          <w14:textFill>
            <w14:solidFill>
              <w14:schemeClr w14:val="tx1"/>
            </w14:solidFill>
          </w14:textFill>
        </w:rPr>
        <w:t>学校规定，规范开展与新华文轩相关服务合同签订、支付相关费用</w:t>
      </w:r>
      <w:r>
        <w:rPr>
          <w:rFonts w:hint="eastAsia" w:ascii="Times New Roman" w:hAnsi="Times New Roman" w:eastAsia="仿宋_GB2312" w:cs="仿宋_GB2312"/>
          <w:color w:val="000000" w:themeColor="text1"/>
          <w:sz w:val="32"/>
          <w:szCs w:val="24"/>
          <w:lang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仿宋_GB2312" w:cs="Times New Roman"/>
          <w:color w:val="000000" w:themeColor="text1"/>
          <w:sz w:val="32"/>
          <w:szCs w:val="24"/>
          <w:lang w:val="zh-CN"/>
          <w14:textFill>
            <w14:solidFill>
              <w14:schemeClr w14:val="tx1"/>
            </w14:solidFill>
          </w14:textFill>
        </w:rPr>
      </w:pPr>
      <w:r>
        <w:rPr>
          <w:rFonts w:hint="eastAsia" w:ascii="Times New Roman" w:hAnsi="Times New Roman" w:eastAsia="黑体" w:cs="黑体"/>
          <w:color w:val="000000" w:themeColor="text1"/>
          <w:sz w:val="32"/>
          <w:szCs w:val="24"/>
          <w:lang w:bidi="ar"/>
          <w14:textFill>
            <w14:solidFill>
              <w14:schemeClr w14:val="tx1"/>
            </w14:solidFill>
          </w14:textFill>
        </w:rPr>
        <w:t>三、项目绩效情况</w:t>
      </w:r>
      <w:r>
        <w:rPr>
          <w:rFonts w:ascii="Times New Roman" w:hAnsi="Times New Roman" w:eastAsia="仿宋_GB2312" w:cs="Times New Roman"/>
          <w:color w:val="000000" w:themeColor="text1"/>
          <w:sz w:val="32"/>
          <w:szCs w:val="24"/>
          <w:lang w:val="zh-CN" w:bidi="ar"/>
          <w14:textFill>
            <w14:solidFill>
              <w14:schemeClr w14:val="tx1"/>
            </w14:solidFill>
          </w14:textFill>
        </w:rPr>
        <w:tab/>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楷体_GB2312" w:cs="楷体_GB2312"/>
          <w:bCs/>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（一）项目完成情况。</w:t>
      </w:r>
      <w:r>
        <w:rPr>
          <w:rFonts w:hint="eastAsia" w:ascii="Times New Roman" w:hAnsi="Times New Roman" w:eastAsia="仿宋_GB2312" w:cs="仿宋_GB2312"/>
          <w:color w:val="000000" w:themeColor="text1"/>
          <w:sz w:val="32"/>
          <w:szCs w:val="24"/>
          <w:lang w:bidi="ar"/>
          <w14:textFill>
            <w14:solidFill>
              <w14:schemeClr w14:val="tx1"/>
            </w14:solidFill>
          </w14:textFill>
        </w:rPr>
        <w:t>推进市委党校内涵式、科学化、高质量发展</w:t>
      </w:r>
      <w:r>
        <w:rPr>
          <w:rFonts w:hint="eastAsia" w:cs="仿宋_GB2312"/>
          <w:color w:val="000000" w:themeColor="text1"/>
          <w:sz w:val="32"/>
          <w:szCs w:val="24"/>
          <w:lang w:eastAsia="zh-CN" w:bidi="ar"/>
          <w14:textFill>
            <w14:solidFill>
              <w14:schemeClr w14:val="tx1"/>
            </w14:solidFill>
          </w14:textFill>
        </w:rPr>
        <w:t>，</w:t>
      </w:r>
      <w:r>
        <w:rPr>
          <w:rFonts w:hint="eastAsia" w:ascii="Times New Roman" w:hAnsi="Times New Roman" w:eastAsia="仿宋_GB2312" w:cs="仿宋_GB2312"/>
          <w:color w:val="000000" w:themeColor="text1"/>
          <w:sz w:val="32"/>
          <w:szCs w:val="24"/>
          <w:lang w:bidi="ar"/>
          <w14:textFill>
            <w14:solidFill>
              <w14:schemeClr w14:val="tx1"/>
            </w14:solidFill>
          </w14:textFill>
        </w:rPr>
        <w:t>本年度培训科研工作管理人员及教师63人，教师科研素质整体提升。《盐都论坛》出刊4期，被评为全市科协系统优秀学术二类期刊。开展对外学术交流单位50个，科研工作有序开展，学术氛围日渐浓厚。</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学员生活区创新设立“学思书架”96处，精选政治理论、领导著作类经典图书</w:t>
      </w:r>
      <w:r>
        <w:rPr>
          <w:rFonts w:hint="eastAsia" w:ascii="Times New Roman" w:hAnsi="Times New Roman" w:cs="仿宋_GB2312"/>
          <w:color w:val="000000" w:themeColor="text1"/>
          <w:sz w:val="32"/>
          <w:szCs w:val="24"/>
          <w:lang w:val="en-US" w:eastAsia="zh-CN" w:bidi="ar"/>
          <w14:textFill>
            <w14:solidFill>
              <w14:schemeClr w14:val="tx1"/>
            </w14:solidFill>
          </w14:textFill>
        </w:rPr>
        <w:t>20</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00册。</w:t>
      </w:r>
    </w:p>
    <w:p>
      <w:pPr>
        <w:keepNext w:val="0"/>
        <w:keepLines w:val="0"/>
        <w:pageBreakBefore w:val="0"/>
        <w:widowControl/>
        <w:kinsoku/>
        <w:wordWrap/>
        <w:overflowPunct/>
        <w:topLinePunct w:val="0"/>
        <w:autoSpaceDE/>
        <w:autoSpaceDN/>
        <w:bidi w:val="0"/>
        <w:spacing w:line="540" w:lineRule="exact"/>
        <w:ind w:firstLine="640" w:firstLineChars="200"/>
        <w:jc w:val="left"/>
        <w:textAlignment w:val="auto"/>
        <w:rPr>
          <w:rFonts w:ascii="Times New Roman" w:hAnsi="Times New Roman" w:eastAsia="楷体_GB2312" w:cs="楷体_GB2312"/>
          <w:bCs/>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（二）项目效益情况。</w:t>
      </w:r>
      <w:r>
        <w:rPr>
          <w:rFonts w:hint="eastAsia" w:ascii="Times New Roman" w:hAnsi="Times New Roman" w:eastAsia="仿宋_GB2312" w:cs="仿宋_GB2312"/>
          <w:color w:val="000000" w:themeColor="text1"/>
          <w:sz w:val="32"/>
          <w:szCs w:val="24"/>
          <w:lang w:bidi="ar"/>
          <w14:textFill>
            <w14:solidFill>
              <w14:schemeClr w14:val="tx1"/>
            </w14:solidFill>
          </w14:textFill>
        </w:rPr>
        <w:t>教师科研素质整体提升，科研能力显著增强。科研平台建设成效</w:t>
      </w:r>
      <w:r>
        <w:rPr>
          <w:rFonts w:hint="eastAsia" w:cs="仿宋_GB2312"/>
          <w:color w:val="000000" w:themeColor="text1"/>
          <w:sz w:val="32"/>
          <w:szCs w:val="24"/>
          <w:lang w:eastAsia="zh-CN" w:bidi="ar"/>
          <w14:textFill>
            <w14:solidFill>
              <w14:schemeClr w14:val="tx1"/>
            </w14:solidFill>
          </w14:textFill>
        </w:rPr>
        <w:t>明显</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w:t>
      </w:r>
      <w:r>
        <w:rPr>
          <w:rFonts w:hint="eastAsia" w:cs="仿宋_GB2312"/>
          <w:color w:val="000000" w:themeColor="text1"/>
          <w:sz w:val="32"/>
          <w:szCs w:val="24"/>
          <w:lang w:eastAsia="zh-CN" w:bidi="ar"/>
          <w14:textFill>
            <w14:solidFill>
              <w14:schemeClr w14:val="tx1"/>
            </w14:solidFill>
          </w14:textFill>
        </w:rPr>
        <w:t>内刊</w:t>
      </w:r>
      <w:r>
        <w:rPr>
          <w:rFonts w:hint="eastAsia" w:ascii="Times New Roman" w:hAnsi="Times New Roman" w:eastAsia="仿宋_GB2312" w:cs="仿宋_GB2312"/>
          <w:color w:val="000000" w:themeColor="text1"/>
          <w:sz w:val="32"/>
          <w:szCs w:val="24"/>
          <w:lang w:bidi="ar"/>
          <w14:textFill>
            <w14:solidFill>
              <w14:schemeClr w14:val="tx1"/>
            </w14:solidFill>
          </w14:textFill>
        </w:rPr>
        <w:t>学术影响力持续提升。</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在巩固传统图书服务基础上持续创新服务模式，与新华文轩合作构建“宿舍+教学楼”双空间阅读服务体系，初步形成门类齐全、精准服务的智慧阅读生态，</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进一步提高了图书服务水平。</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color w:val="000000" w:themeColor="text1"/>
          <w:sz w:val="32"/>
          <w:szCs w:val="24"/>
          <w:lang w:bidi="ar"/>
          <w14:textFill>
            <w14:solidFill>
              <w14:schemeClr w14:val="tx1"/>
            </w14:solidFill>
          </w14:textFill>
        </w:rPr>
      </w:pPr>
      <w:r>
        <w:rPr>
          <w:rFonts w:hint="eastAsia" w:ascii="Times New Roman" w:hAnsi="Times New Roman" w:eastAsia="黑体" w:cs="黑体"/>
          <w:color w:val="000000" w:themeColor="text1"/>
          <w:sz w:val="32"/>
          <w:szCs w:val="24"/>
          <w:lang w:bidi="ar"/>
          <w14:textFill>
            <w14:solidFill>
              <w14:schemeClr w14:val="tx1"/>
            </w14:solidFill>
          </w14:textFill>
        </w:rPr>
        <w:t>四、问题及建议</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楷体_GB2312" w:cs="楷体_GB2312"/>
          <w:bCs/>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（一）存在的问题。</w:t>
      </w:r>
      <w:r>
        <w:rPr>
          <w:rFonts w:hint="eastAsia" w:ascii="Times New Roman" w:hAnsi="Times New Roman" w:eastAsia="仿宋_GB2312" w:cs="Times New Roman"/>
          <w:color w:val="000000" w:themeColor="text1"/>
          <w:sz w:val="32"/>
          <w:szCs w:val="32"/>
          <w:lang w:val="zh-CN"/>
          <w14:textFill>
            <w14:solidFill>
              <w14:schemeClr w14:val="tx1"/>
            </w14:solidFill>
          </w14:textFill>
        </w:rPr>
        <w:t>无。</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color w:val="000000" w:themeColor="text1"/>
          <w:lang w:val="zh-CN"/>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（二）相关建议。</w:t>
      </w:r>
      <w:r>
        <w:rPr>
          <w:rFonts w:hint="eastAsia" w:ascii="Times New Roman" w:hAnsi="Times New Roman" w:cs="Times New Roman"/>
          <w:color w:val="000000" w:themeColor="text1"/>
          <w:sz w:val="32"/>
          <w:szCs w:val="32"/>
          <w:lang w:val="zh-CN"/>
          <w14:textFill>
            <w14:solidFill>
              <w14:schemeClr w14:val="tx1"/>
            </w14:solidFill>
          </w14:textFill>
        </w:rPr>
        <w:t>无。</w:t>
      </w:r>
    </w:p>
    <w:bookmarkEnd w:id="57"/>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14:textFill>
            <w14:solidFill>
              <w14:schemeClr w14:val="tx1"/>
            </w14:solidFill>
          </w14:textFill>
        </w:rPr>
      </w:pPr>
      <w:r>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项目支出绩效自评报告</w:t>
      </w: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仿宋_GB2312" w:cs="仿宋_GB2312"/>
          <w:color w:val="000000" w:themeColor="text1"/>
          <w:kern w:val="2"/>
          <w:sz w:val="32"/>
          <w:szCs w:val="24"/>
          <w:lang w:bidi="ar"/>
          <w14:textFill>
            <w14:solidFill>
              <w14:schemeClr w14:val="tx1"/>
            </w14:solidFill>
          </w14:textFill>
        </w:rPr>
      </w:pP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w:t>
      </w:r>
      <w:r>
        <w:rPr>
          <w:rFonts w:hint="eastAsia" w:ascii="Times New Roman" w:hAnsi="Times New Roman" w:eastAsia="仿宋_GB2312" w:cs="仿宋_GB2312"/>
          <w:color w:val="000000" w:themeColor="text1"/>
          <w:kern w:val="2"/>
          <w:sz w:val="32"/>
          <w:szCs w:val="24"/>
          <w:lang w:eastAsia="zh-CN" w:bidi="ar"/>
          <w14:textFill>
            <w14:solidFill>
              <w14:schemeClr w14:val="tx1"/>
            </w14:solidFill>
          </w14:textFill>
        </w:rPr>
        <w:t>省级干部教育培训机构质量提升专项资金</w:t>
      </w: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项目）</w:t>
      </w:r>
    </w:p>
    <w:p>
      <w:pPr>
        <w:pStyle w:val="28"/>
        <w:keepNext w:val="0"/>
        <w:keepLines w:val="0"/>
        <w:pageBreakBefore w:val="0"/>
        <w:kinsoku/>
        <w:wordWrap/>
        <w:overflowPunct/>
        <w:topLinePunct w:val="0"/>
        <w:autoSpaceDE/>
        <w:autoSpaceDN/>
        <w:bidi w:val="0"/>
        <w:spacing w:line="540" w:lineRule="exact"/>
        <w:ind w:firstLine="883"/>
        <w:jc w:val="left"/>
        <w:textAlignment w:val="auto"/>
        <w:rPr>
          <w:rFonts w:hint="eastAsia" w:ascii="Times New Roman" w:hAnsi="Times New Roman" w:eastAsia="仿宋_GB2312" w:cs="仿宋_GB2312"/>
          <w:color w:val="000000" w:themeColor="text1"/>
          <w:kern w:val="2"/>
          <w:sz w:val="32"/>
          <w:szCs w:val="24"/>
          <w:lang w:bidi="ar"/>
          <w14:textFill>
            <w14:solidFill>
              <w14:schemeClr w14:val="tx1"/>
            </w14:solidFill>
          </w14:textFill>
        </w:rPr>
      </w:pPr>
    </w:p>
    <w:p>
      <w:pPr>
        <w:keepNext w:val="0"/>
        <w:keepLines w:val="0"/>
        <w:pageBreakBefore w:val="0"/>
        <w:numPr>
          <w:ilvl w:val="0"/>
          <w:numId w:val="0"/>
        </w:numPr>
        <w:kinsoku/>
        <w:wordWrap/>
        <w:overflowPunct/>
        <w:topLinePunct w:val="0"/>
        <w:autoSpaceDE/>
        <w:autoSpaceDN/>
        <w:bidi w:val="0"/>
        <w:adjustRightInd w:val="0"/>
        <w:snapToGrid w:val="0"/>
        <w:spacing w:line="540" w:lineRule="exact"/>
        <w:ind w:left="626" w:leftChars="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eastAsia="zh-CN" w:bidi="ar"/>
          <w14:textFill>
            <w14:solidFill>
              <w14:schemeClr w14:val="tx1"/>
            </w14:solidFill>
          </w14:textFill>
        </w:rPr>
        <w:t>一、</w:t>
      </w:r>
      <w:r>
        <w:rPr>
          <w:rFonts w:hint="eastAsia" w:ascii="Times New Roman" w:hAnsi="Times New Roman" w:eastAsia="黑体" w:cs="黑体"/>
          <w:b w:val="0"/>
          <w:bCs w:val="0"/>
          <w:color w:val="000000" w:themeColor="text1"/>
          <w:lang w:bidi="ar"/>
          <w14:textFill>
            <w14:solidFill>
              <w14:schemeClr w14:val="tx1"/>
            </w14:solidFill>
          </w14:textFill>
        </w:rPr>
        <w:t>项目概况</w:t>
      </w:r>
    </w:p>
    <w:p>
      <w:pPr>
        <w:keepNext w:val="0"/>
        <w:keepLines w:val="0"/>
        <w:pageBreakBefore w:val="0"/>
        <w:widowControl/>
        <w:numPr>
          <w:ilvl w:val="0"/>
          <w:numId w:val="0"/>
        </w:numPr>
        <w:suppressLineNumbers w:val="0"/>
        <w:kinsoku/>
        <w:wordWrap/>
        <w:overflowPunct/>
        <w:topLinePunct w:val="0"/>
        <w:autoSpaceDE/>
        <w:autoSpaceDN/>
        <w:bidi w:val="0"/>
        <w:spacing w:line="540" w:lineRule="exact"/>
        <w:ind w:left="0" w:lef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eastAsia="楷体_GB2312" w:cs="楷体_GB2312"/>
          <w:bCs/>
          <w:color w:val="000000" w:themeColor="text1"/>
          <w:lang w:val="zh-CN" w:bidi="ar"/>
          <w14:textFill>
            <w14:solidFill>
              <w14:schemeClr w14:val="tx1"/>
            </w14:solidFill>
          </w14:textFill>
        </w:rPr>
        <w:t>（一）</w:t>
      </w:r>
      <w:r>
        <w:rPr>
          <w:rFonts w:hint="eastAsia" w:ascii="Times New Roman" w:hAnsi="Times New Roman" w:eastAsia="楷体_GB2312" w:cs="楷体_GB2312"/>
          <w:bCs/>
          <w:color w:val="000000" w:themeColor="text1"/>
          <w:lang w:val="zh-CN" w:bidi="ar"/>
          <w14:textFill>
            <w14:solidFill>
              <w14:schemeClr w14:val="tx1"/>
            </w14:solidFill>
          </w14:textFill>
        </w:rPr>
        <w:t>项目资金申报及批复情况。</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根据四川省财政厅《关于下达</w:t>
      </w:r>
      <w:r>
        <w:rPr>
          <w:rFonts w:hint="eastAsia" w:ascii="Times New Roman" w:hAnsi="Times New Roman" w:eastAsia="仿宋" w:cs="仿宋"/>
          <w:color w:val="000000" w:themeColor="text1"/>
          <w:sz w:val="32"/>
          <w:szCs w:val="24"/>
          <w:highlight w:val="none"/>
          <w:lang w:val="en-US" w:eastAsia="zh-CN" w:bidi="ar"/>
          <w14:textFill>
            <w14:solidFill>
              <w14:schemeClr w14:val="tx1"/>
            </w14:solidFill>
          </w14:textFill>
        </w:rPr>
        <w:t>2024年干部教育培训机构质量提升省级财政专项资金的通知</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》（川财行[</w:t>
      </w:r>
      <w:r>
        <w:rPr>
          <w:rFonts w:hint="eastAsia" w:ascii="Times New Roman" w:hAnsi="Times New Roman" w:eastAsia="仿宋" w:cs="仿宋"/>
          <w:color w:val="000000" w:themeColor="text1"/>
          <w:sz w:val="32"/>
          <w:szCs w:val="24"/>
          <w:highlight w:val="none"/>
          <w:lang w:val="en-US" w:eastAsia="zh-CN" w:bidi="ar"/>
          <w14:textFill>
            <w14:solidFill>
              <w14:schemeClr w14:val="tx1"/>
            </w14:solidFill>
          </w14:textFill>
        </w:rPr>
        <w:t>2024</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en-US" w:eastAsia="zh-CN" w:bidi="ar"/>
          <w14:textFill>
            <w14:solidFill>
              <w14:schemeClr w14:val="tx1"/>
            </w14:solidFill>
          </w14:textFill>
        </w:rPr>
        <w:t>138号</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）精神，</w:t>
      </w:r>
      <w:r>
        <w:rPr>
          <w:rFonts w:hint="eastAsia" w:ascii="Times New Roman" w:hAnsi="Times New Roman" w:eastAsia="仿宋" w:cs="仿宋"/>
          <w:color w:val="000000" w:themeColor="text1"/>
          <w:sz w:val="32"/>
          <w:szCs w:val="24"/>
          <w:highlight w:val="none"/>
          <w:lang w:val="en-US" w:eastAsia="zh-CN" w:bidi="ar"/>
          <w14:textFill>
            <w14:solidFill>
              <w14:schemeClr w14:val="tx1"/>
            </w14:solidFill>
          </w14:textFill>
        </w:rPr>
        <w:t>2024年12月30日省财政厅下达资金到市财政。</w:t>
      </w:r>
      <w:r>
        <w:rPr>
          <w:rFonts w:hint="eastAsia" w:ascii="Times New Roman" w:hAnsi="Times New Roman" w:eastAsia="仿宋" w:cs="仿宋"/>
          <w:b w:val="0"/>
          <w:bCs w:val="0"/>
          <w:color w:val="000000" w:themeColor="text1"/>
          <w:lang w:val="zh-CN" w:bidi="ar"/>
          <w14:textFill>
            <w14:solidFill>
              <w14:schemeClr w14:val="tx1"/>
            </w14:solidFill>
          </w14:textFill>
        </w:rPr>
        <w:t>该项目</w:t>
      </w:r>
      <w:r>
        <w:rPr>
          <w:rFonts w:hint="eastAsia" w:ascii="Times New Roman" w:hAnsi="Times New Roman" w:cs="Times New Roman"/>
          <w:color w:val="000000" w:themeColor="text1"/>
          <w:lang w:val="en-US" w:eastAsia="zh-CN"/>
          <w14:textFill>
            <w14:solidFill>
              <w14:schemeClr w14:val="tx1"/>
            </w14:solidFill>
          </w14:textFill>
        </w:rPr>
        <w:t>2025年年初预算数为0万元，全年调整预算数为239.95万元，</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全部为一般公共预算财政拨款资金</w:t>
      </w:r>
      <w:r>
        <w:rPr>
          <w:rFonts w:hint="eastAsia" w:ascii="Times New Roman" w:hAnsi="Times New Roman" w:cs="Times New Roman"/>
          <w:color w:val="000000" w:themeColor="text1"/>
          <w:kern w:val="2"/>
          <w:sz w:val="32"/>
          <w:szCs w:val="24"/>
          <w:lang w:val="en-US" w:eastAsia="zh-CN" w:bidi="ar-SA"/>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预算执行数</w:t>
      </w:r>
      <w:r>
        <w:rPr>
          <w:rFonts w:hint="eastAsia" w:cs="Times New Roman"/>
          <w:color w:val="000000" w:themeColor="text1"/>
          <w:lang w:val="en-US" w:eastAsia="zh-CN"/>
          <w14:textFill>
            <w14:solidFill>
              <w14:schemeClr w14:val="tx1"/>
            </w14:solidFill>
          </w14:textFill>
        </w:rPr>
        <w:t>239.95</w:t>
      </w:r>
      <w:r>
        <w:rPr>
          <w:rFonts w:hint="eastAsia" w:ascii="Times New Roman" w:hAnsi="Times New Roman" w:cs="Times New Roman"/>
          <w:color w:val="000000" w:themeColor="text1"/>
          <w:lang w:val="en-US" w:eastAsia="zh-CN"/>
          <w14:textFill>
            <w14:solidFill>
              <w14:schemeClr w14:val="tx1"/>
            </w14:solidFill>
          </w14:textFill>
        </w:rPr>
        <w:t>万元，预算调整原因为2025年新增下达了省级干部教育培训机构质量提升专项资金。</w:t>
      </w:r>
    </w:p>
    <w:p>
      <w:pPr>
        <w:keepNext w:val="0"/>
        <w:keepLines w:val="0"/>
        <w:pageBreakBefore w:val="0"/>
        <w:widowControl/>
        <w:kinsoku/>
        <w:wordWrap/>
        <w:overflowPunct/>
        <w:topLinePunct w:val="0"/>
        <w:autoSpaceDE/>
        <w:autoSpaceDN/>
        <w:bidi w:val="0"/>
        <w:spacing w:line="540" w:lineRule="exact"/>
        <w:ind w:firstLine="640" w:firstLineChars="200"/>
        <w:jc w:val="left"/>
        <w:textAlignment w:val="auto"/>
        <w:rPr>
          <w:rFonts w:hint="eastAsia" w:ascii="Times New Roman" w:hAnsi="Times New Roman" w:eastAsia="仿宋" w:cs="仿宋"/>
          <w:color w:val="000000" w:themeColor="text1"/>
          <w:sz w:val="32"/>
          <w:szCs w:val="24"/>
          <w:highlight w:val="none"/>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（二）项目绩效目标。</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本年度计划完成新建教室LED屏幕</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开展四库（课程、师资、点位、试题）建设</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新建视频教学会议系统</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打造特色课程</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打造重点课程</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开展课题研究</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开发教学考试及学员管理系统</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开展师资培训</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编写专著教材</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开发精品教学线路</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打造典型案例</w:t>
      </w:r>
      <w:r>
        <w:rPr>
          <w:rFonts w:hint="eastAsia" w:eastAsia="仿宋" w:cs="仿宋"/>
          <w:color w:val="000000" w:themeColor="text1"/>
          <w:sz w:val="32"/>
          <w:szCs w:val="24"/>
          <w:highlight w:val="none"/>
          <w:lang w:val="en-US" w:eastAsia="zh-CN" w:bidi="ar"/>
          <w14:textFill>
            <w14:solidFill>
              <w14:schemeClr w14:val="tx1"/>
            </w14:solidFill>
          </w14:textFill>
        </w:rPr>
        <w:t>等，切实提高</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科研课题结项率</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全市党校系统教师培训覆盖率</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参训学员满意度</w:t>
      </w:r>
      <w:r>
        <w:rPr>
          <w:rFonts w:hint="eastAsia" w:eastAsia="仿宋" w:cs="仿宋"/>
          <w:color w:val="000000" w:themeColor="text1"/>
          <w:sz w:val="32"/>
          <w:szCs w:val="24"/>
          <w:highlight w:val="none"/>
          <w:lang w:val="zh-CN" w:bidi="ar"/>
          <w14:textFill>
            <w14:solidFill>
              <w14:schemeClr w14:val="tx1"/>
            </w14:solidFill>
          </w14:textFill>
        </w:rPr>
        <w:t>，</w:t>
      </w:r>
      <w:r>
        <w:rPr>
          <w:rFonts w:hint="eastAsia" w:eastAsia="仿宋" w:cs="仿宋"/>
          <w:color w:val="000000" w:themeColor="text1"/>
          <w:sz w:val="32"/>
          <w:szCs w:val="24"/>
          <w:highlight w:val="none"/>
          <w:lang w:val="en-US" w:eastAsia="zh-CN" w:bidi="ar"/>
          <w14:textFill>
            <w14:solidFill>
              <w14:schemeClr w14:val="tx1"/>
            </w14:solidFill>
          </w14:textFill>
        </w:rPr>
        <w:t>并且在</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教育培训干部、服务地方经济社会发展方面积极发挥作用</w:t>
      </w:r>
      <w:r>
        <w:rPr>
          <w:rFonts w:hint="eastAsia" w:eastAsia="仿宋" w:cs="仿宋"/>
          <w:color w:val="000000" w:themeColor="text1"/>
          <w:sz w:val="32"/>
          <w:szCs w:val="24"/>
          <w:highlight w:val="none"/>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（三）项目资金申报相符性。</w:t>
      </w:r>
      <w:r>
        <w:rPr>
          <w:rFonts w:hint="eastAsia" w:ascii="Times New Roman" w:hAnsi="Times New Roman" w:eastAsia="仿宋" w:cs="仿宋"/>
          <w:b w:val="0"/>
          <w:bCs w:val="0"/>
          <w:color w:val="000000" w:themeColor="text1"/>
          <w:lang w:val="en-US" w:eastAsia="zh-CN" w:bidi="ar"/>
          <w14:textFill>
            <w14:solidFill>
              <w14:schemeClr w14:val="tx1"/>
            </w14:solidFill>
          </w14:textFill>
        </w:rPr>
        <w:t>鉴于党校高质量发展要求，</w:t>
      </w:r>
      <w:r>
        <w:rPr>
          <w:rFonts w:hint="eastAsia" w:ascii="Times New Roman" w:hAnsi="Times New Roman" w:eastAsia="仿宋" w:cs="仿宋"/>
          <w:b w:val="0"/>
          <w:bCs w:val="0"/>
          <w:color w:val="000000" w:themeColor="text1"/>
          <w:lang w:val="zh-CN" w:bidi="ar"/>
          <w14:textFill>
            <w14:solidFill>
              <w14:schemeClr w14:val="tx1"/>
            </w14:solidFill>
          </w14:textFill>
        </w:rPr>
        <w:t>我校结合</w:t>
      </w:r>
      <w:r>
        <w:rPr>
          <w:rFonts w:hint="eastAsia" w:eastAsia="仿宋" w:cs="仿宋"/>
          <w:b w:val="0"/>
          <w:bCs w:val="0"/>
          <w:color w:val="000000" w:themeColor="text1"/>
          <w:lang w:val="en-US" w:eastAsia="zh-CN" w:bidi="ar"/>
          <w14:textFill>
            <w14:solidFill>
              <w14:schemeClr w14:val="tx1"/>
            </w14:solidFill>
          </w14:textFill>
        </w:rPr>
        <w:t>深化县级党校分类建设工作，</w:t>
      </w:r>
      <w:r>
        <w:rPr>
          <w:rFonts w:hint="eastAsia" w:ascii="Times New Roman" w:hAnsi="Times New Roman" w:eastAsia="仿宋" w:cs="仿宋"/>
          <w:b w:val="0"/>
          <w:bCs w:val="0"/>
          <w:color w:val="000000" w:themeColor="text1"/>
          <w:lang w:val="zh-CN" w:bidi="ar"/>
          <w14:textFill>
            <w14:solidFill>
              <w14:schemeClr w14:val="tx1"/>
            </w14:solidFill>
          </w14:textFill>
        </w:rPr>
        <w:t>进行了资金申报，申报目标切实可行。在实际执行过程中，涉及各项</w:t>
      </w:r>
      <w:r>
        <w:rPr>
          <w:rFonts w:hint="eastAsia" w:eastAsia="仿宋" w:cs="仿宋"/>
          <w:b w:val="0"/>
          <w:bCs w:val="0"/>
          <w:color w:val="000000" w:themeColor="text1"/>
          <w:lang w:val="en-US" w:eastAsia="zh-CN" w:bidi="ar"/>
          <w14:textFill>
            <w14:solidFill>
              <w14:schemeClr w14:val="tx1"/>
            </w14:solidFill>
          </w14:textFill>
        </w:rPr>
        <w:t>工作内容</w:t>
      </w:r>
      <w:r>
        <w:rPr>
          <w:rFonts w:hint="eastAsia" w:ascii="Times New Roman" w:hAnsi="Times New Roman" w:eastAsia="仿宋" w:cs="仿宋"/>
          <w:b w:val="0"/>
          <w:bCs w:val="0"/>
          <w:color w:val="000000" w:themeColor="text1"/>
          <w:lang w:val="zh-CN" w:bidi="ar"/>
          <w14:textFill>
            <w14:solidFill>
              <w14:schemeClr w14:val="tx1"/>
            </w14:solidFill>
          </w14:textFill>
        </w:rPr>
        <w:t>，均经过校院委</w:t>
      </w:r>
      <w:r>
        <w:rPr>
          <w:rFonts w:hint="eastAsia" w:eastAsia="仿宋" w:cs="仿宋"/>
          <w:b w:val="0"/>
          <w:bCs w:val="0"/>
          <w:color w:val="000000" w:themeColor="text1"/>
          <w:lang w:val="zh-CN" w:bidi="ar"/>
          <w14:textFill>
            <w14:solidFill>
              <w14:schemeClr w14:val="tx1"/>
            </w14:solidFill>
          </w14:textFill>
        </w:rPr>
        <w:t>会</w:t>
      </w:r>
      <w:r>
        <w:rPr>
          <w:rFonts w:hint="eastAsia" w:ascii="Times New Roman" w:hAnsi="Times New Roman" w:eastAsia="仿宋" w:cs="仿宋"/>
          <w:b w:val="0"/>
          <w:bCs w:val="0"/>
          <w:color w:val="000000" w:themeColor="text1"/>
          <w:lang w:val="zh-CN" w:bidi="ar"/>
          <w14:textFill>
            <w14:solidFill>
              <w14:schemeClr w14:val="tx1"/>
            </w14:solidFill>
          </w14:textFill>
        </w:rPr>
        <w:t>审议，落实过程中，严格遵照相关标准执行，</w:t>
      </w:r>
      <w:r>
        <w:rPr>
          <w:rFonts w:hint="eastAsia" w:ascii="Times New Roman" w:hAnsi="Times New Roman" w:eastAsia="仿宋" w:cs="仿宋"/>
          <w:b w:val="0"/>
          <w:bCs w:val="0"/>
          <w:color w:val="000000" w:themeColor="text1"/>
          <w:lang w:bidi="ar"/>
          <w14:textFill>
            <w14:solidFill>
              <w14:schemeClr w14:val="tx1"/>
            </w14:solidFill>
          </w14:textFill>
        </w:rPr>
        <w:t>特别是</w:t>
      </w:r>
      <w:r>
        <w:rPr>
          <w:rFonts w:hint="eastAsia" w:ascii="Times New Roman" w:hAnsi="Times New Roman" w:eastAsia="仿宋" w:cs="仿宋"/>
          <w:b w:val="0"/>
          <w:bCs w:val="0"/>
          <w:color w:val="000000" w:themeColor="text1"/>
          <w:lang w:val="en-US" w:eastAsia="zh-CN" w:bidi="ar"/>
          <w14:textFill>
            <w14:solidFill>
              <w14:schemeClr w14:val="tx1"/>
            </w14:solidFill>
          </w14:textFill>
        </w:rPr>
        <w:t>信息化建设</w:t>
      </w:r>
      <w:r>
        <w:rPr>
          <w:rFonts w:hint="eastAsia" w:ascii="Times New Roman" w:hAnsi="Times New Roman" w:eastAsia="仿宋" w:cs="仿宋"/>
          <w:b w:val="0"/>
          <w:bCs w:val="0"/>
          <w:color w:val="000000" w:themeColor="text1"/>
          <w:lang w:bidi="ar"/>
          <w14:textFill>
            <w14:solidFill>
              <w14:schemeClr w14:val="tx1"/>
            </w14:solidFill>
          </w14:textFill>
        </w:rPr>
        <w:t>，严格按照合同</w:t>
      </w:r>
      <w:r>
        <w:rPr>
          <w:rFonts w:hint="eastAsia" w:ascii="Times New Roman" w:hAnsi="Times New Roman" w:eastAsia="仿宋" w:cs="仿宋"/>
          <w:b w:val="0"/>
          <w:bCs w:val="0"/>
          <w:color w:val="000000" w:themeColor="text1"/>
          <w:lang w:val="en-US" w:eastAsia="zh-CN" w:bidi="ar"/>
          <w14:textFill>
            <w14:solidFill>
              <w14:schemeClr w14:val="tx1"/>
            </w14:solidFill>
          </w14:textFill>
        </w:rPr>
        <w:t>要求</w:t>
      </w:r>
      <w:r>
        <w:rPr>
          <w:rFonts w:hint="eastAsia" w:ascii="Times New Roman" w:hAnsi="Times New Roman" w:eastAsia="仿宋" w:cs="仿宋"/>
          <w:b w:val="0"/>
          <w:bCs w:val="0"/>
          <w:color w:val="000000" w:themeColor="text1"/>
          <w:lang w:bidi="ar"/>
          <w14:textFill>
            <w14:solidFill>
              <w14:schemeClr w14:val="tx1"/>
            </w14:solidFill>
          </w14:textFill>
        </w:rPr>
        <w:t>进行考核</w:t>
      </w:r>
      <w:r>
        <w:rPr>
          <w:rFonts w:hint="eastAsia" w:ascii="Times New Roman" w:hAnsi="Times New Roman" w:eastAsia="仿宋" w:cs="仿宋"/>
          <w:b w:val="0"/>
          <w:bCs w:val="0"/>
          <w:color w:val="000000" w:themeColor="text1"/>
          <w:lang w:eastAsia="zh-CN" w:bidi="ar"/>
          <w14:textFill>
            <w14:solidFill>
              <w14:schemeClr w14:val="tx1"/>
            </w14:solidFill>
          </w14:textFill>
        </w:rPr>
        <w:t>，</w:t>
      </w:r>
      <w:r>
        <w:rPr>
          <w:rFonts w:hint="eastAsia" w:ascii="Times New Roman" w:hAnsi="Times New Roman" w:eastAsia="仿宋" w:cs="仿宋"/>
          <w:b w:val="0"/>
          <w:bCs w:val="0"/>
          <w:color w:val="000000" w:themeColor="text1"/>
          <w:lang w:bidi="ar"/>
          <w14:textFill>
            <w14:solidFill>
              <w14:schemeClr w14:val="tx1"/>
            </w14:solidFill>
          </w14:textFill>
        </w:rPr>
        <w:t>达到合格标准才能进行相应支付，</w:t>
      </w:r>
      <w:r>
        <w:rPr>
          <w:rFonts w:hint="eastAsia" w:ascii="Times New Roman" w:hAnsi="Times New Roman" w:eastAsia="仿宋" w:cs="仿宋"/>
          <w:b w:val="0"/>
          <w:bCs w:val="0"/>
          <w:color w:val="000000" w:themeColor="text1"/>
          <w:lang w:val="zh-CN" w:bidi="ar"/>
          <w14:textFill>
            <w14:solidFill>
              <w14:schemeClr w14:val="tx1"/>
            </w14:solidFill>
          </w14:textFill>
        </w:rPr>
        <w:t>始终确保项目申报内容与具体实施内容相符。</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二、项目实施及管理情况</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楷体_GB2312" w:cs="楷体_GB2312"/>
          <w:bCs/>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ab/>
      </w:r>
      <w:r>
        <w:rPr>
          <w:rFonts w:hint="eastAsia" w:ascii="Times New Roman" w:hAnsi="Times New Roman" w:eastAsia="楷体_GB2312" w:cs="楷体_GB2312"/>
          <w:bCs/>
          <w:color w:val="000000" w:themeColor="text1"/>
          <w:lang w:val="zh-CN" w:bidi="ar"/>
          <w14:textFill>
            <w14:solidFill>
              <w14:schemeClr w14:val="tx1"/>
            </w14:solidFill>
          </w14:textFill>
        </w:rPr>
        <w:t>（一）资金计划、到位及使用情况。</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b w:val="0"/>
          <w:bCs w:val="0"/>
          <w:color w:val="000000" w:themeColor="text1"/>
          <w:lang w:bidi="ar"/>
          <w14:textFill>
            <w14:solidFill>
              <w14:schemeClr w14:val="tx1"/>
            </w14:solidFill>
          </w14:textFill>
        </w:rPr>
      </w:pPr>
      <w:r>
        <w:rPr>
          <w:rFonts w:hint="eastAsia" w:ascii="Times New Roman" w:hAnsi="Times New Roman" w:eastAsia="楷体_GB2312" w:cs="楷体_GB2312"/>
          <w:bCs/>
          <w:color w:val="000000" w:themeColor="text1"/>
          <w:lang w:val="en-US" w:eastAsia="zh-CN" w:bidi="ar"/>
          <w14:textFill>
            <w14:solidFill>
              <w14:schemeClr w14:val="tx1"/>
            </w14:solidFill>
          </w14:textFill>
        </w:rPr>
        <w:t>1.</w:t>
      </w:r>
      <w:r>
        <w:rPr>
          <w:rFonts w:hint="eastAsia" w:ascii="Times New Roman" w:hAnsi="Times New Roman" w:eastAsia="楷体_GB2312" w:cs="楷体_GB2312"/>
          <w:bCs/>
          <w:color w:val="000000" w:themeColor="text1"/>
          <w:lang w:val="zh-CN" w:bidi="ar"/>
          <w14:textFill>
            <w14:solidFill>
              <w14:schemeClr w14:val="tx1"/>
            </w14:solidFill>
          </w14:textFill>
        </w:rPr>
        <w:t>资金计划及到位。</w:t>
      </w:r>
      <w:r>
        <w:rPr>
          <w:rFonts w:hint="eastAsia" w:ascii="Times New Roman" w:hAnsi="Times New Roman" w:eastAsia="仿宋" w:cs="仿宋"/>
          <w:b w:val="0"/>
          <w:bCs w:val="0"/>
          <w:color w:val="000000" w:themeColor="text1"/>
          <w:lang w:val="zh-CN" w:bidi="ar"/>
          <w14:textFill>
            <w14:solidFill>
              <w14:schemeClr w14:val="tx1"/>
            </w14:solidFill>
          </w14:textFill>
        </w:rPr>
        <w:t>该项目</w:t>
      </w:r>
      <w:r>
        <w:rPr>
          <w:rFonts w:hint="eastAsia" w:ascii="Times New Roman" w:hAnsi="Times New Roman" w:eastAsia="仿宋" w:cs="仿宋"/>
          <w:b w:val="0"/>
          <w:bCs w:val="0"/>
          <w:color w:val="000000" w:themeColor="text1"/>
          <w:lang w:val="en-US" w:eastAsia="zh-CN" w:bidi="ar"/>
          <w14:textFill>
            <w14:solidFill>
              <w14:schemeClr w14:val="tx1"/>
            </w14:solidFill>
          </w14:textFill>
        </w:rPr>
        <w:t>202</w:t>
      </w:r>
      <w:r>
        <w:rPr>
          <w:rFonts w:hint="eastAsia" w:eastAsia="仿宋" w:cs="仿宋"/>
          <w:b w:val="0"/>
          <w:bCs w:val="0"/>
          <w:color w:val="000000" w:themeColor="text1"/>
          <w:lang w:val="en-US" w:eastAsia="zh-CN" w:bidi="ar"/>
          <w14:textFill>
            <w14:solidFill>
              <w14:schemeClr w14:val="tx1"/>
            </w14:solidFill>
          </w14:textFill>
        </w:rPr>
        <w:t>5</w:t>
      </w:r>
      <w:r>
        <w:rPr>
          <w:rFonts w:hint="eastAsia" w:ascii="Times New Roman" w:hAnsi="Times New Roman" w:eastAsia="仿宋" w:cs="仿宋"/>
          <w:b w:val="0"/>
          <w:bCs w:val="0"/>
          <w:color w:val="000000" w:themeColor="text1"/>
          <w:lang w:val="en-US" w:eastAsia="zh-CN" w:bidi="ar"/>
          <w14:textFill>
            <w14:solidFill>
              <w14:schemeClr w14:val="tx1"/>
            </w14:solidFill>
          </w14:textFill>
        </w:rPr>
        <w:t>年下达资金</w:t>
      </w:r>
      <w:r>
        <w:rPr>
          <w:rFonts w:hint="eastAsia" w:ascii="Times New Roman" w:hAnsi="Times New Roman" w:cs="Times New Roman"/>
          <w:color w:val="000000" w:themeColor="text1"/>
          <w:lang w:val="en-US" w:eastAsia="zh-CN"/>
          <w14:textFill>
            <w14:solidFill>
              <w14:schemeClr w14:val="tx1"/>
            </w14:solidFill>
          </w14:textFill>
        </w:rPr>
        <w:t>239.95万元</w:t>
      </w:r>
      <w:r>
        <w:rPr>
          <w:rFonts w:hint="eastAsia" w:ascii="Times New Roman" w:hAnsi="Times New Roman" w:eastAsia="仿宋" w:cs="仿宋"/>
          <w:b w:val="0"/>
          <w:bCs w:val="0"/>
          <w:color w:val="000000" w:themeColor="text1"/>
          <w:lang w:bidi="ar"/>
          <w14:textFill>
            <w14:solidFill>
              <w14:schemeClr w14:val="tx1"/>
            </w14:solidFill>
          </w14:textFill>
        </w:rPr>
        <w:t>，全部为一般公共预算财政拨款资金。资金到位及时。</w:t>
      </w:r>
    </w:p>
    <w:p>
      <w:pPr>
        <w:pStyle w:val="28"/>
        <w:keepNext w:val="0"/>
        <w:keepLines w:val="0"/>
        <w:pageBreakBefore w:val="0"/>
        <w:kinsoku/>
        <w:wordWrap/>
        <w:overflowPunct/>
        <w:topLinePunct w:val="0"/>
        <w:autoSpaceDE/>
        <w:autoSpaceDN/>
        <w:bidi w:val="0"/>
        <w:spacing w:line="540" w:lineRule="exact"/>
        <w:ind w:firstLine="640" w:firstLineChars="200"/>
        <w:jc w:val="left"/>
        <w:textAlignment w:val="auto"/>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pPr>
      <w:r>
        <w:rPr>
          <w:rFonts w:hint="eastAsia" w:ascii="Times New Roman" w:hAnsi="Times New Roman" w:eastAsia="楷体_GB2312" w:cs="楷体_GB2312"/>
          <w:bCs/>
          <w:color w:val="000000" w:themeColor="text1"/>
          <w:kern w:val="2"/>
          <w:sz w:val="32"/>
          <w:szCs w:val="24"/>
          <w:lang w:val="en-US" w:eastAsia="zh-CN" w:bidi="ar"/>
          <w14:textFill>
            <w14:solidFill>
              <w14:schemeClr w14:val="tx1"/>
            </w14:solidFill>
          </w14:textFill>
        </w:rPr>
        <w:t>2.</w:t>
      </w:r>
      <w:r>
        <w:rPr>
          <w:rFonts w:hint="eastAsia" w:ascii="Times New Roman" w:hAnsi="Times New Roman" w:eastAsia="楷体_GB2312" w:cs="楷体_GB2312"/>
          <w:bCs/>
          <w:color w:val="000000" w:themeColor="text1"/>
          <w:kern w:val="2"/>
          <w:sz w:val="32"/>
          <w:szCs w:val="24"/>
          <w:lang w:val="zh-CN" w:eastAsia="zh-CN" w:bidi="ar"/>
          <w14:textFill>
            <w14:solidFill>
              <w14:schemeClr w14:val="tx1"/>
            </w14:solidFill>
          </w14:textFill>
        </w:rPr>
        <w:t>资金使用。</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该项目严格按照资金支付规定和合同的履约标准进行支付，202</w:t>
      </w:r>
      <w:r>
        <w:rPr>
          <w:rFonts w:hint="eastAsia" w:ascii="Times New Roman" w:hAnsi="Times New Roman" w:eastAsia="仿宋" w:cs="仿宋"/>
          <w:b w:val="0"/>
          <w:bCs w:val="0"/>
          <w:color w:val="000000" w:themeColor="text1"/>
          <w:kern w:val="2"/>
          <w:sz w:val="32"/>
          <w:szCs w:val="24"/>
          <w:lang w:val="en-US" w:eastAsia="zh-CN" w:bidi="ar"/>
          <w14:textFill>
            <w14:solidFill>
              <w14:schemeClr w14:val="tx1"/>
            </w14:solidFill>
          </w14:textFill>
        </w:rPr>
        <w:t>5</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年，</w:t>
      </w:r>
      <w:r>
        <w:rPr>
          <w:rFonts w:hint="eastAsia" w:ascii="Times New Roman" w:hAnsi="Times New Roman" w:eastAsia="仿宋_GB2312" w:cs="仿宋_GB2312"/>
          <w:color w:val="000000" w:themeColor="text1"/>
          <w:kern w:val="2"/>
          <w:sz w:val="32"/>
          <w:szCs w:val="24"/>
          <w:lang w:eastAsia="zh-CN" w:bidi="ar"/>
          <w14:textFill>
            <w14:solidFill>
              <w14:schemeClr w14:val="tx1"/>
            </w14:solidFill>
          </w14:textFill>
        </w:rPr>
        <w:t>省级干部教育培训机构质量提升专项资金</w:t>
      </w: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项目</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共计支出</w:t>
      </w:r>
      <w:r>
        <w:rPr>
          <w:rFonts w:hint="eastAsia" w:ascii="Times New Roman" w:hAnsi="Times New Roman" w:eastAsia="仿宋" w:cs="仿宋"/>
          <w:b w:val="0"/>
          <w:bCs w:val="0"/>
          <w:color w:val="000000" w:themeColor="text1"/>
          <w:kern w:val="2"/>
          <w:sz w:val="32"/>
          <w:szCs w:val="24"/>
          <w:lang w:val="en-US" w:eastAsia="zh-CN" w:bidi="ar"/>
          <w14:textFill>
            <w14:solidFill>
              <w14:schemeClr w14:val="tx1"/>
            </w14:solidFill>
          </w14:textFill>
        </w:rPr>
        <w:t>239.95万元</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，支付依据合规合法。</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eastAsia="zh-CN" w:bidi="ar"/>
          <w14:textFill>
            <w14:solidFill>
              <w14:schemeClr w14:val="tx1"/>
            </w14:solidFill>
          </w14:textFill>
        </w:rPr>
        <w:t>（二）项目财务管理情况。</w:t>
      </w:r>
      <w:r>
        <w:rPr>
          <w:rFonts w:hint="eastAsia" w:ascii="Times New Roman" w:hAnsi="Times New Roman" w:eastAsia="仿宋" w:cs="仿宋"/>
          <w:b w:val="0"/>
          <w:bCs w:val="0"/>
          <w:color w:val="000000" w:themeColor="text1"/>
          <w:lang w:val="zh-CN" w:bidi="ar"/>
          <w14:textFill>
            <w14:solidFill>
              <w14:schemeClr w14:val="tx1"/>
            </w14:solidFill>
          </w14:textFill>
        </w:rPr>
        <w:t>该项目严格执行我校《物资采购管理制度》《中共自贡市委党校内部控制手册》《合同管理暂行办法》等制度规范，全年未出现重大工作失误和安全问题。资金支付环节，始终认真对照项目资金管理办法，专款专用，严格执行财务管理制度，处理及时，会计核算标准。</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（三）项目组织实施情况。</w:t>
      </w:r>
      <w:r>
        <w:rPr>
          <w:rFonts w:hint="eastAsia" w:ascii="Times New Roman" w:hAnsi="Times New Roman" w:eastAsia="仿宋" w:cs="仿宋"/>
          <w:b w:val="0"/>
          <w:bCs w:val="0"/>
          <w:color w:val="000000" w:themeColor="text1"/>
          <w:lang w:val="zh-CN" w:bidi="ar"/>
          <w14:textFill>
            <w14:solidFill>
              <w14:schemeClr w14:val="tx1"/>
            </w14:solidFill>
          </w14:textFill>
        </w:rPr>
        <w:t>该项目由财务科负责资金申报，</w:t>
      </w:r>
      <w:r>
        <w:rPr>
          <w:rFonts w:hint="eastAsia" w:eastAsia="仿宋" w:cs="仿宋"/>
          <w:b w:val="0"/>
          <w:bCs w:val="0"/>
          <w:color w:val="000000" w:themeColor="text1"/>
          <w:lang w:val="en-US" w:eastAsia="zh-CN" w:bidi="ar"/>
          <w14:textFill>
            <w14:solidFill>
              <w14:schemeClr w14:val="tx1"/>
            </w14:solidFill>
          </w14:textFill>
        </w:rPr>
        <w:t>教务科、科研科、研究室、电教网络室、各教研室分别牵头</w:t>
      </w:r>
      <w:r>
        <w:rPr>
          <w:rFonts w:hint="eastAsia" w:ascii="Times New Roman" w:hAnsi="Times New Roman" w:eastAsia="仿宋" w:cs="仿宋"/>
          <w:b w:val="0"/>
          <w:bCs w:val="0"/>
          <w:color w:val="000000" w:themeColor="text1"/>
          <w:lang w:bidi="ar"/>
          <w14:textFill>
            <w14:solidFill>
              <w14:schemeClr w14:val="tx1"/>
            </w14:solidFill>
          </w14:textFill>
        </w:rPr>
        <w:t>实施</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val="zh-CN"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三、项目绩效情况</w:t>
      </w:r>
      <w:r>
        <w:rPr>
          <w:rFonts w:hint="eastAsia" w:ascii="Times New Roman" w:hAnsi="Times New Roman" w:eastAsia="黑体" w:cs="黑体"/>
          <w:b w:val="0"/>
          <w:bCs w:val="0"/>
          <w:color w:val="000000" w:themeColor="text1"/>
          <w:lang w:val="zh-CN" w:bidi="ar"/>
          <w14:textFill>
            <w14:solidFill>
              <w14:schemeClr w14:val="tx1"/>
            </w14:solidFill>
          </w14:textFill>
        </w:rPr>
        <w:tab/>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（一）项目完成情况。</w:t>
      </w:r>
      <w:r>
        <w:rPr>
          <w:rFonts w:hint="eastAsia" w:ascii="Times New Roman" w:hAnsi="Times New Roman" w:eastAsia="仿宋" w:cs="仿宋"/>
          <w:b w:val="0"/>
          <w:bCs w:val="0"/>
          <w:color w:val="000000" w:themeColor="text1"/>
          <w:lang w:val="zh-CN" w:bidi="ar"/>
          <w14:textFill>
            <w14:solidFill>
              <w14:schemeClr w14:val="tx1"/>
            </w14:solidFill>
          </w14:textFill>
        </w:rPr>
        <w:t>项目所有绩效指标基本完成。</w:t>
      </w:r>
      <w:r>
        <w:rPr>
          <w:rFonts w:hint="eastAsia" w:eastAsia="仿宋" w:cs="仿宋"/>
          <w:b w:val="0"/>
          <w:bCs w:val="0"/>
          <w:color w:val="000000" w:themeColor="text1"/>
          <w:lang w:val="en-US" w:eastAsia="zh-CN" w:bidi="ar"/>
          <w14:textFill>
            <w14:solidFill>
              <w14:schemeClr w14:val="tx1"/>
            </w14:solidFill>
          </w14:textFill>
        </w:rPr>
        <w:t>一是在</w:t>
      </w:r>
      <w:r>
        <w:rPr>
          <w:rFonts w:hint="eastAsia" w:ascii="Times New Roman" w:hAnsi="Times New Roman" w:eastAsia="仿宋" w:cs="仿宋"/>
          <w:b w:val="0"/>
          <w:bCs w:val="0"/>
          <w:color w:val="000000" w:themeColor="text1"/>
          <w:lang w:val="zh-CN" w:bidi="ar"/>
          <w14:textFill>
            <w14:solidFill>
              <w14:schemeClr w14:val="tx1"/>
            </w14:solidFill>
          </w14:textFill>
        </w:rPr>
        <w:t>数量指标方面，新建LED屏幕、视频会议系统，完成四库建设、特色及重点课程打造、课题研究、管理系统开发、师资培训、专著教材、精品线路及典型案例等全部目标；</w:t>
      </w:r>
      <w:r>
        <w:rPr>
          <w:rFonts w:hint="eastAsia" w:eastAsia="仿宋" w:cs="仿宋"/>
          <w:b w:val="0"/>
          <w:bCs w:val="0"/>
          <w:color w:val="000000" w:themeColor="text1"/>
          <w:lang w:val="en-US" w:eastAsia="zh-CN" w:bidi="ar"/>
          <w14:textFill>
            <w14:solidFill>
              <w14:schemeClr w14:val="tx1"/>
            </w14:solidFill>
          </w14:textFill>
        </w:rPr>
        <w:t>二是</w:t>
      </w:r>
      <w:r>
        <w:rPr>
          <w:rFonts w:hint="eastAsia" w:ascii="Times New Roman" w:hAnsi="Times New Roman" w:eastAsia="仿宋" w:cs="仿宋"/>
          <w:b w:val="0"/>
          <w:bCs w:val="0"/>
          <w:color w:val="000000" w:themeColor="text1"/>
          <w:lang w:val="zh-CN" w:bidi="ar"/>
          <w14:textFill>
            <w14:solidFill>
              <w14:schemeClr w14:val="tx1"/>
            </w14:solidFill>
          </w14:textFill>
        </w:rPr>
        <w:t>质量指标中科研课题结项率达100%；三是效益指标中全市党校系统教师培训覆盖率</w:t>
      </w:r>
      <w:r>
        <w:rPr>
          <w:rFonts w:hint="eastAsia" w:ascii="Times New Roman" w:hAnsi="Times New Roman" w:eastAsia="仿宋" w:cs="仿宋"/>
          <w:b w:val="0"/>
          <w:bCs w:val="0"/>
          <w:color w:val="000000" w:themeColor="text1"/>
          <w:lang w:val="en-US" w:eastAsia="zh-CN" w:bidi="ar"/>
          <w14:textFill>
            <w14:solidFill>
              <w14:schemeClr w14:val="tx1"/>
            </w14:solidFill>
          </w14:textFill>
        </w:rPr>
        <w:t>100%，在教育培训干部、服务地方经济社会发展方面积极发挥作用；四是参训学员满意度达到98.7%</w:t>
      </w:r>
      <w:r>
        <w:rPr>
          <w:rFonts w:hint="eastAsia" w:eastAsia="仿宋" w:cs="仿宋"/>
          <w:b w:val="0"/>
          <w:bCs w:val="0"/>
          <w:color w:val="000000" w:themeColor="text1"/>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（二）项目效益情况。</w:t>
      </w:r>
      <w:r>
        <w:rPr>
          <w:rFonts w:hint="eastAsia" w:ascii="Times New Roman" w:hAnsi="Times New Roman" w:eastAsia="仿宋" w:cs="仿宋"/>
          <w:b w:val="0"/>
          <w:bCs w:val="0"/>
          <w:color w:val="000000" w:themeColor="text1"/>
          <w:lang w:val="zh-CN" w:bidi="ar"/>
          <w14:textFill>
            <w14:solidFill>
              <w14:schemeClr w14:val="tx1"/>
            </w14:solidFill>
          </w14:textFill>
        </w:rPr>
        <w:t>严格按照</w:t>
      </w:r>
      <w:r>
        <w:rPr>
          <w:rFonts w:hint="eastAsia" w:eastAsia="仿宋" w:cs="仿宋"/>
          <w:b w:val="0"/>
          <w:bCs w:val="0"/>
          <w:color w:val="000000" w:themeColor="text1"/>
          <w:lang w:val="en-US" w:eastAsia="zh-CN" w:bidi="ar"/>
          <w14:textFill>
            <w14:solidFill>
              <w14:schemeClr w14:val="tx1"/>
            </w14:solidFill>
          </w14:textFill>
        </w:rPr>
        <w:t>专项资金使用有关规定，</w:t>
      </w:r>
      <w:r>
        <w:rPr>
          <w:rFonts w:hint="eastAsia" w:ascii="Times New Roman" w:hAnsi="Times New Roman" w:eastAsia="仿宋" w:cs="仿宋"/>
          <w:b w:val="0"/>
          <w:bCs w:val="0"/>
          <w:color w:val="000000" w:themeColor="text1"/>
          <w:lang w:val="en-US" w:eastAsia="zh-CN" w:bidi="ar"/>
          <w14:textFill>
            <w14:solidFill>
              <w14:schemeClr w14:val="tx1"/>
            </w14:solidFill>
          </w14:textFill>
        </w:rPr>
        <w:t>实现教学科研咨政等</w:t>
      </w:r>
      <w:r>
        <w:rPr>
          <w:rFonts w:hint="eastAsia" w:eastAsia="仿宋" w:cs="仿宋"/>
          <w:b w:val="0"/>
          <w:bCs w:val="0"/>
          <w:color w:val="000000" w:themeColor="text1"/>
          <w:lang w:val="en-US" w:eastAsia="zh-CN" w:bidi="ar"/>
          <w14:textFill>
            <w14:solidFill>
              <w14:schemeClr w14:val="tx1"/>
            </w14:solidFill>
          </w14:textFill>
        </w:rPr>
        <w:t>主责主业</w:t>
      </w:r>
      <w:r>
        <w:rPr>
          <w:rFonts w:hint="eastAsia" w:ascii="Times New Roman" w:hAnsi="Times New Roman" w:eastAsia="仿宋" w:cs="仿宋"/>
          <w:b w:val="0"/>
          <w:bCs w:val="0"/>
          <w:color w:val="000000" w:themeColor="text1"/>
          <w:lang w:val="en-US" w:eastAsia="zh-CN" w:bidi="ar"/>
          <w14:textFill>
            <w14:solidFill>
              <w14:schemeClr w14:val="tx1"/>
            </w14:solidFill>
          </w14:textFill>
        </w:rPr>
        <w:t>可持续发展</w:t>
      </w:r>
      <w:r>
        <w:rPr>
          <w:rFonts w:hint="eastAsia" w:eastAsia="仿宋" w:cs="仿宋"/>
          <w:b w:val="0"/>
          <w:bCs w:val="0"/>
          <w:color w:val="000000" w:themeColor="text1"/>
          <w:lang w:val="en-US" w:eastAsia="zh-CN" w:bidi="ar"/>
          <w14:textFill>
            <w14:solidFill>
              <w14:schemeClr w14:val="tx1"/>
            </w14:solidFill>
          </w14:textFill>
        </w:rPr>
        <w:t>，同时，通过实施该项目，</w:t>
      </w:r>
      <w:r>
        <w:rPr>
          <w:rFonts w:hint="eastAsia" w:ascii="Times New Roman" w:hAnsi="Times New Roman" w:eastAsia="仿宋" w:cs="仿宋"/>
          <w:b w:val="0"/>
          <w:bCs w:val="0"/>
          <w:color w:val="000000" w:themeColor="text1"/>
          <w:lang w:val="zh-CN" w:bidi="ar"/>
          <w14:textFill>
            <w14:solidFill>
              <w14:schemeClr w14:val="tx1"/>
            </w14:solidFill>
          </w14:textFill>
        </w:rPr>
        <w:t>有效提升了干部教育培训水平，有力服务地方经济社会发展。参训学员满意度高。</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四、问题及建议</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eastAsia="仿宋" w:cs="仿宋"/>
          <w:b w:val="0"/>
          <w:bCs w:val="0"/>
          <w:color w:val="000000" w:themeColor="text1"/>
          <w:lang w:val="en-US" w:eastAsia="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（一）存在的问题。</w:t>
      </w:r>
      <w:r>
        <w:rPr>
          <w:rFonts w:hint="eastAsia" w:eastAsia="仿宋" w:cs="仿宋"/>
          <w:b w:val="0"/>
          <w:bCs w:val="0"/>
          <w:color w:val="000000" w:themeColor="text1"/>
          <w:lang w:val="en-US" w:eastAsia="zh-CN" w:bidi="ar"/>
          <w14:textFill>
            <w14:solidFill>
              <w14:schemeClr w14:val="tx1"/>
            </w14:solidFill>
          </w14:textFill>
        </w:rPr>
        <w:t>无。</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（二）相关建议。</w:t>
      </w:r>
      <w:r>
        <w:rPr>
          <w:rFonts w:hint="eastAsia" w:eastAsia="仿宋" w:cs="仿宋"/>
          <w:b w:val="0"/>
          <w:bCs w:val="0"/>
          <w:color w:val="000000" w:themeColor="text1"/>
          <w:lang w:val="en-US" w:eastAsia="zh-CN" w:bidi="ar"/>
          <w14:textFill>
            <w14:solidFill>
              <w14:schemeClr w14:val="tx1"/>
            </w14:solidFill>
          </w14:textFill>
        </w:rPr>
        <w:t>无</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14"/>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28"/>
        <w:keepNext w:val="0"/>
        <w:keepLines w:val="0"/>
        <w:pageBreakBefore w:val="0"/>
        <w:widowControl/>
        <w:kinsoku/>
        <w:wordWrap/>
        <w:overflowPunct/>
        <w:topLinePunct w:val="0"/>
        <w:autoSpaceDE/>
        <w:autoSpaceDN/>
        <w:bidi w:val="0"/>
        <w:spacing w:line="540" w:lineRule="exact"/>
        <w:jc w:val="center"/>
        <w:textAlignment w:val="auto"/>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eastAsia" w:ascii="Times New Roman" w:hAnsi="Times New Roman" w:eastAsia="方正小标宋简体" w:cs="方正小标宋简体"/>
          <w:color w:val="000000" w:themeColor="text1"/>
          <w:sz w:val="44"/>
          <w:szCs w:val="44"/>
          <w:lang w:val="en-US"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w:t>
      </w:r>
      <w:r>
        <w:rPr>
          <w:rFonts w:hint="eastAsia" w:ascii="Times New Roman" w:hAnsi="Times New Roman" w:eastAsia="方正小标宋简体" w:cs="方正小标宋简体"/>
          <w:color w:val="000000" w:themeColor="text1"/>
          <w:sz w:val="44"/>
          <w:szCs w:val="44"/>
          <w:lang w:val="en-US" w:eastAsia="zh-CN"/>
          <w14:textFill>
            <w14:solidFill>
              <w14:schemeClr w14:val="tx1"/>
            </w14:solidFill>
          </w14:textFill>
        </w:rPr>
        <w:t>自评</w:t>
      </w:r>
      <w:r>
        <w:rPr>
          <w:rFonts w:hint="eastAsia" w:ascii="Times New Roman" w:hAnsi="Times New Roman" w:eastAsia="方正小标宋简体" w:cs="方正小标宋简体"/>
          <w:color w:val="000000" w:themeColor="text1"/>
          <w:sz w:val="44"/>
          <w:szCs w:val="44"/>
          <w14:textFill>
            <w14:solidFill>
              <w14:schemeClr w14:val="tx1"/>
            </w14:solidFill>
          </w14:textFill>
        </w:rPr>
        <w:t>报告</w:t>
      </w:r>
    </w:p>
    <w:p>
      <w:pPr>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pP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（市委党校对外合作培训经费（管理））</w:t>
      </w:r>
    </w:p>
    <w:p>
      <w:pPr>
        <w:pStyle w:val="14"/>
        <w:keepNext w:val="0"/>
        <w:keepLines w:val="0"/>
        <w:pageBreakBefore w:val="0"/>
        <w:kinsoku/>
        <w:wordWrap/>
        <w:overflowPunct/>
        <w:topLinePunct w:val="0"/>
        <w:autoSpaceDE/>
        <w:autoSpaceDN/>
        <w:bidi w:val="0"/>
        <w:spacing w:after="0" w:line="540" w:lineRule="exact"/>
        <w:ind w:left="0" w:leftChars="0" w:firstLine="640" w:firstLineChars="200"/>
        <w:jc w:val="left"/>
        <w:textAlignment w:val="auto"/>
        <w:rPr>
          <w:rFonts w:hint="eastAsia"/>
          <w:color w:val="000000" w:themeColor="text1"/>
          <w:lang w:val="en-US" w:eastAsia="zh-CN"/>
          <w14:textFill>
            <w14:solidFill>
              <w14:schemeClr w14:val="tx1"/>
            </w14:solidFill>
          </w14:textFill>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40" w:lineRule="exact"/>
        <w:ind w:left="0" w:leftChars="0" w:right="0" w:firstLine="640" w:firstLineChars="200"/>
        <w:jc w:val="left"/>
        <w:textAlignment w:val="auto"/>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t>一、项目概况</w:t>
      </w:r>
    </w:p>
    <w:p>
      <w:pPr>
        <w:keepNext w:val="0"/>
        <w:keepLines w:val="0"/>
        <w:pageBreakBefore w:val="0"/>
        <w:widowControl/>
        <w:numPr>
          <w:ilvl w:val="0"/>
          <w:numId w:val="0"/>
        </w:numPr>
        <w:suppressLineNumbers w:val="0"/>
        <w:kinsoku/>
        <w:wordWrap/>
        <w:overflowPunct/>
        <w:topLinePunct w:val="0"/>
        <w:autoSpaceDE/>
        <w:autoSpaceDN/>
        <w:bidi w:val="0"/>
        <w:spacing w:line="540" w:lineRule="exact"/>
        <w:ind w:left="0" w:lef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（一）项目资金申报及批复情况。</w:t>
      </w:r>
      <w:r>
        <w:rPr>
          <w:rFonts w:hint="eastAsia" w:ascii="Times New Roman" w:hAnsi="Times New Roman" w:cs="Times New Roman"/>
          <w:color w:val="000000" w:themeColor="text1"/>
          <w:lang w:val="en-US" w:eastAsia="zh-CN"/>
          <w14:textFill>
            <w14:solidFill>
              <w14:schemeClr w14:val="tx1"/>
            </w14:solidFill>
          </w14:textFill>
        </w:rPr>
        <w:t>为深入贯彻落实《中国共产党党校（行政学院）工作条例》，聚焦干部教育培训主责主业，市委党校以“跨区域协作+特色资源赋能”为核心，聚焦川渝地区干部培训需求，推动区域干部教育协同发展。本项目资金年初预算申报数为14.4万元，全年调整预算数为1</w:t>
      </w:r>
      <w:r>
        <w:rPr>
          <w:rFonts w:hint="eastAsia" w:cs="Times New Roman"/>
          <w:color w:val="000000" w:themeColor="text1"/>
          <w:lang w:val="en-US" w:eastAsia="zh-CN"/>
          <w14:textFill>
            <w14:solidFill>
              <w14:schemeClr w14:val="tx1"/>
            </w14:solidFill>
          </w14:textFill>
        </w:rPr>
        <w:t>85.5</w:t>
      </w:r>
      <w:r>
        <w:rPr>
          <w:rFonts w:hint="eastAsia" w:ascii="Times New Roman" w:hAnsi="Times New Roman" w:cs="Times New Roman"/>
          <w:color w:val="000000" w:themeColor="text1"/>
          <w:lang w:val="en-US" w:eastAsia="zh-CN"/>
          <w14:textFill>
            <w14:solidFill>
              <w14:schemeClr w14:val="tx1"/>
            </w14:solidFill>
          </w14:textFill>
        </w:rPr>
        <w:t>万元，</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全部为一般公共预算财政拨款资金</w:t>
      </w:r>
      <w:r>
        <w:rPr>
          <w:rFonts w:hint="eastAsia" w:ascii="Times New Roman" w:hAnsi="Times New Roman" w:cs="Times New Roman"/>
          <w:color w:val="000000" w:themeColor="text1"/>
          <w:kern w:val="2"/>
          <w:sz w:val="32"/>
          <w:szCs w:val="24"/>
          <w:lang w:val="en-US" w:eastAsia="zh-CN" w:bidi="ar-SA"/>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预算执行数</w:t>
      </w:r>
      <w:r>
        <w:rPr>
          <w:rFonts w:hint="eastAsia" w:cs="Times New Roman"/>
          <w:color w:val="000000" w:themeColor="text1"/>
          <w:lang w:val="en-US" w:eastAsia="zh-CN"/>
          <w14:textFill>
            <w14:solidFill>
              <w14:schemeClr w14:val="tx1"/>
            </w14:solidFill>
          </w14:textFill>
        </w:rPr>
        <w:t>185.5</w:t>
      </w:r>
      <w:r>
        <w:rPr>
          <w:rFonts w:hint="eastAsia" w:ascii="Times New Roman" w:hAnsi="Times New Roman" w:cs="Times New Roman"/>
          <w:color w:val="000000" w:themeColor="text1"/>
          <w:lang w:val="en-US" w:eastAsia="zh-CN"/>
          <w14:textFill>
            <w14:solidFill>
              <w14:schemeClr w14:val="tx1"/>
            </w14:solidFill>
          </w14:textFill>
        </w:rPr>
        <w:t>万元，预算调整原因为2025年对外合作培训班次人次较年初预算有大幅增加。</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（二）项目绩效目标。</w:t>
      </w:r>
      <w:r>
        <w:rPr>
          <w:rFonts w:hint="eastAsia" w:ascii="Times New Roman" w:hAnsi="Times New Roman" w:cs="Times New Roman"/>
          <w:color w:val="000000" w:themeColor="text1"/>
          <w:lang w:val="en-US" w:eastAsia="zh-CN"/>
          <w14:textFill>
            <w14:solidFill>
              <w14:schemeClr w14:val="tx1"/>
            </w14:solidFill>
          </w14:textFill>
        </w:rPr>
        <w:t>该项目2025年计划承接外来培训班</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lang w:val="en-US" w:eastAsia="zh-CN"/>
          <w14:textFill>
            <w14:solidFill>
              <w14:schemeClr w14:val="tx1"/>
            </w14:solidFill>
          </w14:textFill>
        </w:rPr>
        <w:t>个以上，扩大自贡知名度，吸引更多省内外党员干部前来自贡学习。该项目设置了承接外来培训班数量、培训学员数量、培训计划按期完成率等产出指标，设置了提升党校对外培训知名度效益指标及参训学员满意度指标等。</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（三）项目资金申报相符性。</w:t>
      </w:r>
      <w:r>
        <w:rPr>
          <w:rFonts w:hint="eastAsia" w:ascii="Times New Roman" w:hAnsi="Times New Roman" w:cs="Times New Roman"/>
          <w:color w:val="000000" w:themeColor="text1"/>
          <w:lang w:val="en-US" w:eastAsia="zh-CN"/>
          <w14:textFill>
            <w14:solidFill>
              <w14:schemeClr w14:val="tx1"/>
            </w14:solidFill>
          </w14:textFill>
        </w:rPr>
        <w:t>为适应新时代市县级党校分类建设需要，更好发挥本土特色教学基地、现场教学点的作用，市委党校围绕持续加强对外办学的班次承接与相应保障申报资金，申报目标合理可行。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40" w:lineRule="exact"/>
        <w:ind w:left="0" w:leftChars="0" w:right="0" w:firstLine="640" w:firstLineChars="200"/>
        <w:jc w:val="left"/>
        <w:textAlignment w:val="auto"/>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t>二、项目实施及管理情况</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（一）资金计划、到位及使用情况</w:t>
      </w:r>
    </w:p>
    <w:p>
      <w:pPr>
        <w:pStyle w:val="14"/>
        <w:keepNext w:val="0"/>
        <w:keepLines w:val="0"/>
        <w:pageBreakBefore w:val="0"/>
        <w:kinsoku/>
        <w:wordWrap/>
        <w:overflowPunct/>
        <w:topLinePunct w:val="0"/>
        <w:autoSpaceDE/>
        <w:autoSpaceDN/>
        <w:bidi w:val="0"/>
        <w:spacing w:after="0" w:line="540" w:lineRule="exact"/>
        <w:ind w:left="0" w:leftChars="0" w:firstLine="640" w:firstLineChars="200"/>
        <w:jc w:val="left"/>
        <w:textAlignment w:val="auto"/>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pPr>
      <w:r>
        <w:rPr>
          <w:rFonts w:hint="eastAsia" w:ascii="Times New Roman" w:hAnsi="Times New Roman" w:eastAsia="楷体_GB2312" w:cs="Times New Roman"/>
          <w:color w:val="000000" w:themeColor="text1"/>
          <w:kern w:val="2"/>
          <w:sz w:val="32"/>
          <w:szCs w:val="24"/>
          <w:lang w:val="en-US" w:eastAsia="zh-CN" w:bidi="ar"/>
          <w14:textFill>
            <w14:solidFill>
              <w14:schemeClr w14:val="tx1"/>
            </w14:solidFill>
          </w14:textFill>
        </w:rPr>
        <w:t>1．资金计划及到位。</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该项目资金年初预算</w:t>
      </w:r>
      <w:r>
        <w:rPr>
          <w:rFonts w:hint="eastAsia" w:cs="Times New Roman"/>
          <w:color w:val="000000" w:themeColor="text1"/>
          <w:kern w:val="2"/>
          <w:sz w:val="32"/>
          <w:szCs w:val="24"/>
          <w:lang w:val="en-US" w:eastAsia="zh-CN" w:bidi="ar-SA"/>
          <w14:textFill>
            <w14:solidFill>
              <w14:schemeClr w14:val="tx1"/>
            </w14:solidFill>
          </w14:textFill>
        </w:rPr>
        <w:t>14.4</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万元，全年调整预算数为</w:t>
      </w:r>
      <w:r>
        <w:rPr>
          <w:rFonts w:hint="eastAsia" w:cs="Times New Roman"/>
          <w:color w:val="000000" w:themeColor="text1"/>
          <w:kern w:val="2"/>
          <w:sz w:val="32"/>
          <w:szCs w:val="24"/>
          <w:lang w:val="en-US" w:eastAsia="zh-CN" w:bidi="ar-SA"/>
          <w14:textFill>
            <w14:solidFill>
              <w14:schemeClr w14:val="tx1"/>
            </w14:solidFill>
          </w14:textFill>
        </w:rPr>
        <w:t>185.5</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万元，全部为一般公共预算财政拨款资金</w:t>
      </w:r>
      <w:r>
        <w:rPr>
          <w:rFonts w:hint="eastAsia" w:ascii="Times New Roman" w:hAnsi="Times New Roman" w:cs="Times New Roman"/>
          <w:color w:val="000000" w:themeColor="text1"/>
          <w:kern w:val="2"/>
          <w:sz w:val="32"/>
          <w:szCs w:val="24"/>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资金到位及时。</w:t>
      </w:r>
    </w:p>
    <w:p>
      <w:pPr>
        <w:pStyle w:val="14"/>
        <w:keepNext w:val="0"/>
        <w:keepLines w:val="0"/>
        <w:pageBreakBefore w:val="0"/>
        <w:kinsoku/>
        <w:wordWrap/>
        <w:overflowPunct/>
        <w:topLinePunct w:val="0"/>
        <w:autoSpaceDE/>
        <w:autoSpaceDN/>
        <w:bidi w:val="0"/>
        <w:spacing w:after="0" w:line="540" w:lineRule="exact"/>
        <w:ind w:left="0" w:leftChars="0" w:firstLine="640" w:firstLineChars="200"/>
        <w:jc w:val="left"/>
        <w:textAlignment w:val="auto"/>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pPr>
      <w:r>
        <w:rPr>
          <w:rFonts w:hint="eastAsia" w:ascii="Times New Roman" w:hAnsi="Times New Roman" w:eastAsia="楷体_GB2312" w:cs="Times New Roman"/>
          <w:color w:val="000000" w:themeColor="text1"/>
          <w:kern w:val="2"/>
          <w:sz w:val="32"/>
          <w:szCs w:val="24"/>
          <w:lang w:val="en-US" w:eastAsia="zh-CN" w:bidi="ar"/>
          <w14:textFill>
            <w14:solidFill>
              <w14:schemeClr w14:val="tx1"/>
            </w14:solidFill>
          </w14:textFill>
        </w:rPr>
        <w:t>2．资金使用。</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该项目严格按照资金支付规定和合同的履约标准进行支付，考核结果的原始表格以及发票手续齐全。202</w:t>
      </w:r>
      <w:r>
        <w:rPr>
          <w:rFonts w:hint="eastAsia" w:cs="Times New Roman"/>
          <w:color w:val="000000" w:themeColor="text1"/>
          <w:kern w:val="2"/>
          <w:sz w:val="32"/>
          <w:szCs w:val="24"/>
          <w:lang w:val="en-US" w:eastAsia="zh-CN" w:bidi="ar-SA"/>
          <w14:textFill>
            <w14:solidFill>
              <w14:schemeClr w14:val="tx1"/>
            </w14:solidFill>
          </w14:textFill>
        </w:rPr>
        <w:t>5</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年，</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市委党校对外合作培训经费（管理）</w:t>
      </w:r>
      <w:r>
        <w:rPr>
          <w:rFonts w:hint="eastAsia" w:ascii="Times New Roman" w:hAnsi="Times New Roman" w:cs="仿宋_GB2312"/>
          <w:color w:val="000000" w:themeColor="text1"/>
          <w:sz w:val="32"/>
          <w:szCs w:val="24"/>
          <w:lang w:val="en-US" w:eastAsia="zh-CN" w:bidi="ar"/>
          <w14:textFill>
            <w14:solidFill>
              <w14:schemeClr w14:val="tx1"/>
            </w14:solidFill>
          </w14:textFill>
        </w:rPr>
        <w:t>项目</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共计支出</w:t>
      </w:r>
      <w:r>
        <w:rPr>
          <w:rFonts w:hint="eastAsia" w:cs="Times New Roman"/>
          <w:color w:val="000000" w:themeColor="text1"/>
          <w:kern w:val="2"/>
          <w:sz w:val="32"/>
          <w:szCs w:val="24"/>
          <w:lang w:val="en-US" w:eastAsia="zh-CN" w:bidi="ar-SA"/>
          <w14:textFill>
            <w14:solidFill>
              <w14:schemeClr w14:val="tx1"/>
            </w14:solidFill>
          </w14:textFill>
        </w:rPr>
        <w:t>185.5</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万元，支付依据合规合法，与预算相符。</w:t>
      </w:r>
    </w:p>
    <w:p>
      <w:pPr>
        <w:pStyle w:val="14"/>
        <w:keepNext w:val="0"/>
        <w:keepLines w:val="0"/>
        <w:pageBreakBefore w:val="0"/>
        <w:kinsoku/>
        <w:wordWrap/>
        <w:overflowPunct/>
        <w:topLinePunct w:val="0"/>
        <w:autoSpaceDE/>
        <w:autoSpaceDN/>
        <w:bidi w:val="0"/>
        <w:spacing w:after="0" w:line="540" w:lineRule="exact"/>
        <w:ind w:left="0" w:leftChars="0" w:firstLine="640" w:firstLineChars="200"/>
        <w:jc w:val="left"/>
        <w:textAlignment w:val="auto"/>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（二）项目财务管理情况。</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该项目严格执行</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《自贡市市级机关培训费管理</w:t>
      </w:r>
      <w:r>
        <w:rPr>
          <w:rFonts w:hint="eastAsia" w:ascii="Times New Roman" w:hAnsi="Times New Roman" w:cs="仿宋_GB2312"/>
          <w:color w:val="000000" w:themeColor="text1"/>
          <w:sz w:val="32"/>
          <w:szCs w:val="24"/>
          <w:lang w:val="zh-CN" w:bidi="ar"/>
          <w14:textFill>
            <w14:solidFill>
              <w14:schemeClr w14:val="tx1"/>
            </w14:solidFill>
          </w14:textFill>
        </w:rPr>
        <w:t>实施</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办法》</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。资金支付环节，始终认真对照项目资金管理办法，专款专用，评价项目严格执行财务管理制度，处理及时，会计核算标准。</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（三）项目组织实施情况</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zh-CN"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管理架构：形成由主要领导负总责，分管领导分工负责，对口业务科室具体负责的管理架构和责任体系。日常事务由业务科室协调送培单位和校内其他科室共同推进和完成，重要事项报分管领导或主要领导决策，大额资金支付和重大事项，按规定提交校院委会审议。</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zh-CN"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实施流程。送培单位与业务科室在充分对接沟通基础上形成培训方案，报校分管领导审批同意后与送培方签订培训协议。业务科室按照培训协议聘请师资、安排课程和现场教学等内容，做好全程跟班服务和安全管理。培训结束，及时完善费用支付报销手续，按班结算和报销。</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3.监管措施。学员从课程设置、师资水平、服务保障3个维度进行满意度测评。学校从财务、纪律等方面实行日常监管。业务科室通过班主任带班考核制度对班主任进行全程考核监督，确保办班带班质量和效果。</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40" w:lineRule="exact"/>
        <w:ind w:left="0" w:leftChars="0" w:right="0" w:firstLine="640" w:firstLineChars="200"/>
        <w:jc w:val="left"/>
        <w:textAlignment w:val="auto"/>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t>三、项目绩效情况</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zh-CN"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（一）项目完成情况。2025年</w:t>
      </w:r>
      <w:r>
        <w:rPr>
          <w:rFonts w:hint="eastAsia" w:ascii="Times New Roman" w:hAnsi="Times New Roman" w:cs="Times New Roman"/>
          <w:color w:val="000000" w:themeColor="text1"/>
          <w:lang w:val="en-US" w:eastAsia="zh-CN"/>
          <w14:textFill>
            <w14:solidFill>
              <w14:schemeClr w14:val="tx1"/>
            </w14:solidFill>
          </w14:textFill>
        </w:rPr>
        <w:t>举办对外合作培训班</w:t>
      </w:r>
      <w:r>
        <w:rPr>
          <w:rFonts w:hint="eastAsia" w:cs="Times New Roman"/>
          <w:color w:val="000000" w:themeColor="text1"/>
          <w:lang w:val="en-US" w:eastAsia="zh-CN"/>
          <w14:textFill>
            <w14:solidFill>
              <w14:schemeClr w14:val="tx1"/>
            </w14:solidFill>
          </w14:textFill>
        </w:rPr>
        <w:t>33</w:t>
      </w:r>
      <w:r>
        <w:rPr>
          <w:rFonts w:hint="eastAsia" w:ascii="Times New Roman" w:hAnsi="Times New Roman" w:cs="Times New Roman"/>
          <w:color w:val="000000" w:themeColor="text1"/>
          <w:lang w:val="en-US" w:eastAsia="zh-CN"/>
          <w14:textFill>
            <w14:solidFill>
              <w14:schemeClr w14:val="tx1"/>
            </w14:solidFill>
          </w14:textFill>
        </w:rPr>
        <w:t>期，参训学员</w:t>
      </w:r>
      <w:r>
        <w:rPr>
          <w:rFonts w:hint="eastAsia" w:cs="Times New Roman"/>
          <w:color w:val="000000" w:themeColor="text1"/>
          <w:lang w:val="en-US" w:eastAsia="zh-CN"/>
          <w14:textFill>
            <w14:solidFill>
              <w14:schemeClr w14:val="tx1"/>
            </w14:solidFill>
          </w14:textFill>
        </w:rPr>
        <w:t>2443</w:t>
      </w:r>
      <w:r>
        <w:rPr>
          <w:rFonts w:hint="eastAsia" w:ascii="Times New Roman" w:hAnsi="Times New Roman" w:cs="Times New Roman"/>
          <w:color w:val="000000" w:themeColor="text1"/>
          <w:lang w:val="en-US" w:eastAsia="zh-CN"/>
          <w14:textFill>
            <w14:solidFill>
              <w14:schemeClr w14:val="tx1"/>
            </w14:solidFill>
          </w14:textFill>
        </w:rPr>
        <w:t>人次，学员满意度达99.</w:t>
      </w:r>
      <w:r>
        <w:rPr>
          <w:rFonts w:hint="eastAsia" w:cs="Times New Roman"/>
          <w:color w:val="000000" w:themeColor="text1"/>
          <w:lang w:val="en-US" w:eastAsia="zh-CN"/>
          <w14:textFill>
            <w14:solidFill>
              <w14:schemeClr w14:val="tx1"/>
            </w14:solidFill>
          </w14:textFill>
        </w:rPr>
        <w:t>32</w:t>
      </w:r>
      <w:r>
        <w:rPr>
          <w:rFonts w:hint="eastAsia" w:ascii="Times New Roman" w:hAnsi="Times New Roman" w:cs="Times New Roman"/>
          <w:color w:val="000000" w:themeColor="text1"/>
          <w:lang w:val="en-US" w:eastAsia="zh-CN"/>
          <w14:textFill>
            <w14:solidFill>
              <w14:schemeClr w14:val="tx1"/>
            </w14:solidFill>
          </w14:textFill>
        </w:rPr>
        <w:t>%，所有培训项目均按时完成，提升了党校对外培训知名度。</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（二）项目效益情况。</w:t>
      </w:r>
      <w:r>
        <w:rPr>
          <w:rFonts w:hint="eastAsia" w:ascii="Times New Roman" w:hAnsi="Times New Roman" w:cs="Times New Roman"/>
          <w:color w:val="000000" w:themeColor="text1"/>
          <w:lang w:val="en-US" w:eastAsia="zh-CN"/>
          <w14:textFill>
            <w14:solidFill>
              <w14:schemeClr w14:val="tx1"/>
            </w14:solidFill>
          </w14:textFill>
        </w:rPr>
        <w:t>一是在社会效益指标方面，承接来自市外多个培训班次学员培训，自贡经济、文化等方面特色和亮点在培训过程中得到展示和推介，自贡川南重要城市的形象得到进一步提升。二是培训按标准收取培训费用，按规定上交财政，在保质保量完成培训任务的同时，为地方非税收入作出了积极贡献。三是在满意度指标方面，参训学员及领导对党校对外合作培训工作也给予了肯定。</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40" w:lineRule="exact"/>
        <w:ind w:left="0" w:leftChars="0" w:right="0" w:firstLine="640" w:firstLineChars="200"/>
        <w:jc w:val="left"/>
        <w:textAlignment w:val="auto"/>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t>四、问题及建议</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（一）存在的问题。</w:t>
      </w:r>
      <w:r>
        <w:rPr>
          <w:rFonts w:hint="eastAsia" w:ascii="Times New Roman" w:hAnsi="Times New Roman" w:cs="Times New Roman"/>
          <w:color w:val="000000" w:themeColor="text1"/>
          <w:lang w:val="en-US" w:eastAsia="zh-CN"/>
          <w14:textFill>
            <w14:solidFill>
              <w14:schemeClr w14:val="tx1"/>
            </w14:solidFill>
          </w14:textFill>
        </w:rPr>
        <w:t>当前现场教学点建设缺乏全市层面的统筹预约，其中经济、产业类现场教学点的预约工作存在较大难度。</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（二）相关建议。</w:t>
      </w:r>
      <w:r>
        <w:rPr>
          <w:rFonts w:hint="eastAsia" w:ascii="Times New Roman" w:hAnsi="Times New Roman" w:cs="Times New Roman"/>
          <w:color w:val="000000" w:themeColor="text1"/>
          <w:lang w:val="en-US" w:eastAsia="zh-CN"/>
          <w14:textFill>
            <w14:solidFill>
              <w14:schemeClr w14:val="tx1"/>
            </w14:solidFill>
          </w14:textFill>
        </w:rPr>
        <w:t>建议由市级层面统筹建立跨部门协调机制，整合经济、产业资源搭建统一管理平台，制定产业类教学点建设标准，通过荣誉激励等方式引导企业参与；探索“政校企”共建共享的产教融合长效机制，实现教学点规划布局、资源调度的全市一盘棋统筹推进。</w:t>
      </w: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项目支出绩效自评报告</w:t>
      </w:r>
    </w:p>
    <w:p>
      <w:pPr>
        <w:keepNext w:val="0"/>
        <w:keepLines w:val="0"/>
        <w:widowControl w:val="0"/>
        <w:suppressLineNumbers w:val="0"/>
        <w:spacing w:before="0" w:beforeAutospacing="0" w:after="0" w:afterAutospacing="0" w:line="580" w:lineRule="exact"/>
        <w:ind w:left="0" w:right="0"/>
        <w:jc w:val="center"/>
        <w:rPr>
          <w:rFonts w:ascii="Times New Roman" w:hAnsi="Times New Roman" w:eastAsia="仿宋_GB2312" w:cs="Times New Roman"/>
          <w:color w:val="000000" w:themeColor="text1"/>
          <w:sz w:val="32"/>
          <w:lang w:val="en-US"/>
          <w14:textFill>
            <w14:solidFill>
              <w14:schemeClr w14:val="tx1"/>
            </w14:solidFill>
          </w14:textFill>
        </w:rPr>
      </w:pP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w:t>
      </w: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市委党校后勤保障工作经费项目</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黑体" w:cs="Times New Roman"/>
          <w:color w:val="000000" w:themeColor="text1"/>
          <w:sz w:val="32"/>
          <w:lang w:val="zh-CN" w:eastAsia="zh-CN"/>
          <w14:textFill>
            <w14:solidFill>
              <w14:schemeClr w14:val="tx1"/>
            </w14:solidFill>
          </w14:textFill>
        </w:rPr>
      </w:pPr>
      <w:r>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t>一、</w:t>
      </w:r>
      <w:r>
        <w:rPr>
          <w:rFonts w:hint="default" w:ascii="Times New Roman" w:hAnsi="Times New Roman" w:eastAsia="黑体" w:cs="Times New Roman"/>
          <w:color w:val="000000" w:themeColor="text1"/>
          <w:kern w:val="2"/>
          <w:sz w:val="32"/>
          <w:szCs w:val="24"/>
          <w:lang w:val="zh-CN" w:eastAsia="zh-CN" w:bidi="ar"/>
          <w14:textFill>
            <w14:solidFill>
              <w14:schemeClr w14:val="tx1"/>
            </w14:solidFill>
          </w14:textFill>
        </w:rPr>
        <w:t>项目概况</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仿宋_GB2312" w:cs="Times New Roman"/>
          <w:color w:val="000000" w:themeColor="text1"/>
          <w:sz w:val="32"/>
          <w:lang w:val="zh-CN" w:eastAsia="zh-CN"/>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（一）项目资金申报及批复情况。</w:t>
      </w:r>
      <w:r>
        <w:rPr>
          <w:rFonts w:hint="eastAsia" w:ascii="Times New Roman" w:hAnsi="Times New Roman" w:eastAsia="仿宋" w:cs="仿宋"/>
          <w:color w:val="000000" w:themeColor="text1"/>
          <w:lang w:val="zh-CN" w:bidi="ar"/>
          <w14:textFill>
            <w14:solidFill>
              <w14:schemeClr w14:val="tx1"/>
            </w14:solidFill>
          </w14:textFill>
        </w:rPr>
        <w:t>该项目资金年初预算即申报数为</w:t>
      </w:r>
      <w:r>
        <w:rPr>
          <w:rFonts w:hint="eastAsia" w:eastAsia="仿宋" w:cs="仿宋"/>
          <w:color w:val="000000" w:themeColor="text1"/>
          <w:lang w:val="en-US" w:eastAsia="zh-CN" w:bidi="ar"/>
          <w14:textFill>
            <w14:solidFill>
              <w14:schemeClr w14:val="tx1"/>
            </w14:solidFill>
          </w14:textFill>
        </w:rPr>
        <w:t>88.55</w:t>
      </w:r>
      <w:r>
        <w:rPr>
          <w:rFonts w:hint="eastAsia" w:ascii="Times New Roman" w:hAnsi="Times New Roman" w:eastAsia="仿宋" w:cs="仿宋"/>
          <w:color w:val="000000" w:themeColor="text1"/>
          <w:lang w:val="zh-CN" w:bidi="ar"/>
          <w14:textFill>
            <w14:solidFill>
              <w14:schemeClr w14:val="tx1"/>
            </w14:solidFill>
          </w14:textFill>
        </w:rPr>
        <w:t>万元，全部为一般公共预算财政拨款资金。全年调整预算数为</w:t>
      </w:r>
      <w:r>
        <w:rPr>
          <w:rFonts w:hint="eastAsia" w:eastAsia="仿宋" w:cs="仿宋"/>
          <w:color w:val="000000" w:themeColor="text1"/>
          <w:lang w:val="en-US" w:eastAsia="zh-CN" w:bidi="ar"/>
          <w14:textFill>
            <w14:solidFill>
              <w14:schemeClr w14:val="tx1"/>
            </w14:solidFill>
          </w14:textFill>
        </w:rPr>
        <w:t>91.58</w:t>
      </w:r>
      <w:r>
        <w:rPr>
          <w:rFonts w:hint="eastAsia" w:ascii="Times New Roman" w:hAnsi="Times New Roman" w:eastAsia="仿宋" w:cs="仿宋"/>
          <w:color w:val="000000" w:themeColor="text1"/>
          <w:lang w:val="zh-CN" w:bidi="ar"/>
          <w14:textFill>
            <w14:solidFill>
              <w14:schemeClr w14:val="tx1"/>
            </w14:solidFill>
          </w14:textFill>
        </w:rPr>
        <w:t>万元，实际执行数为</w:t>
      </w:r>
      <w:r>
        <w:rPr>
          <w:rFonts w:hint="eastAsia" w:eastAsia="仿宋" w:cs="仿宋"/>
          <w:color w:val="000000" w:themeColor="text1"/>
          <w:lang w:val="en-US" w:eastAsia="zh-CN" w:bidi="ar"/>
          <w14:textFill>
            <w14:solidFill>
              <w14:schemeClr w14:val="tx1"/>
            </w14:solidFill>
          </w14:textFill>
        </w:rPr>
        <w:t>91.58</w:t>
      </w:r>
      <w:r>
        <w:rPr>
          <w:rFonts w:hint="eastAsia" w:ascii="Times New Roman" w:hAnsi="Times New Roman" w:eastAsia="仿宋" w:cs="仿宋"/>
          <w:color w:val="000000" w:themeColor="text1"/>
          <w:lang w:val="zh-CN" w:bidi="ar"/>
          <w14:textFill>
            <w14:solidFill>
              <w14:schemeClr w14:val="tx1"/>
            </w14:solidFill>
          </w14:textFill>
        </w:rPr>
        <w:t>万元，年中预算调整主要是单位内部调剂其他项目经费到该项目使用，符合资金管理办法等相关规定。</w:t>
      </w:r>
    </w:p>
    <w:p>
      <w:pPr>
        <w:adjustRightInd w:val="0"/>
        <w:snapToGrid w:val="0"/>
        <w:spacing w:line="592" w:lineRule="exact"/>
        <w:ind w:firstLine="720"/>
        <w:rPr>
          <w:rFonts w:hint="default" w:ascii="Times New Roman" w:hAnsi="Times New Roman" w:eastAsia="仿宋" w:cs="仿宋"/>
          <w:color w:val="000000" w:themeColor="text1"/>
          <w:lang w:val="en-US" w:eastAsia="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（二）项目绩效目标。</w:t>
      </w:r>
      <w:r>
        <w:rPr>
          <w:rFonts w:hint="eastAsia" w:ascii="Times New Roman" w:hAnsi="Times New Roman" w:eastAsia="仿宋" w:cs="仿宋"/>
          <w:color w:val="000000" w:themeColor="text1"/>
          <w:lang w:val="zh-CN" w:bidi="ar"/>
          <w14:textFill>
            <w14:solidFill>
              <w14:schemeClr w14:val="tx1"/>
            </w14:solidFill>
          </w14:textFill>
        </w:rPr>
        <w:t>该项目主要是通过社会化购买物业服务，确保校区办公区域和教学公共区域的环境保洁、秩序管理、会议服务（会场布置摆放、茶水服务、卫生保洁等服务）、水电、绿化等工作的高效运行，同时用于校园维修维护等。</w:t>
      </w:r>
      <w:r>
        <w:rPr>
          <w:rFonts w:hint="eastAsia" w:ascii="Times New Roman" w:hAnsi="Times New Roman" w:eastAsia="仿宋" w:cs="仿宋"/>
          <w:color w:val="000000" w:themeColor="text1"/>
          <w:lang w:val="en-US" w:eastAsia="zh-CN" w:bidi="ar"/>
          <w14:textFill>
            <w14:solidFill>
              <w14:schemeClr w14:val="tx1"/>
            </w14:solidFill>
          </w14:textFill>
        </w:rPr>
        <w:t>2025年，设置了配置专业物业服务人员数量、校园维修维护次数、每季度物业服务评分考核优秀率等产出指标，设置了受益学员数量、物业服务时限等效益指标。</w:t>
      </w:r>
    </w:p>
    <w:p>
      <w:pPr>
        <w:adjustRightInd w:val="0"/>
        <w:snapToGrid w:val="0"/>
        <w:spacing w:line="560" w:lineRule="exact"/>
        <w:ind w:firstLine="720"/>
        <w:rPr>
          <w:rFonts w:ascii="Times New Roman" w:hAnsi="Times New Roman" w:cs="仿宋_GB2312"/>
          <w:color w:val="000000" w:themeColor="text1"/>
          <w:lang w:val="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（三）项目资金申报相符性。</w:t>
      </w:r>
      <w:r>
        <w:rPr>
          <w:rFonts w:hint="eastAsia" w:ascii="Times New Roman" w:hAnsi="Times New Roman" w:eastAsia="仿宋" w:cs="仿宋"/>
          <w:color w:val="000000" w:themeColor="text1"/>
          <w:lang w:bidi="ar"/>
          <w14:textFill>
            <w14:solidFill>
              <w14:schemeClr w14:val="tx1"/>
            </w14:solidFill>
          </w14:textFill>
        </w:rPr>
        <w:t>由于</w:t>
      </w:r>
      <w:r>
        <w:rPr>
          <w:rFonts w:hint="eastAsia" w:ascii="Times New Roman" w:hAnsi="Times New Roman" w:eastAsia="仿宋" w:cs="仿宋"/>
          <w:color w:val="000000" w:themeColor="text1"/>
          <w:lang w:val="zh-CN" w:bidi="ar"/>
          <w14:textFill>
            <w14:solidFill>
              <w14:schemeClr w14:val="tx1"/>
            </w14:solidFill>
          </w14:textFill>
        </w:rPr>
        <w:t>培训班次及其培训规模较大，我校结合教职工和学员的需求进行了资金申报，申报目标切实可行。在实际执行过程中，涉及后勤运行维护的各项服务引入，均经过校院委</w:t>
      </w:r>
      <w:r>
        <w:rPr>
          <w:rFonts w:hint="eastAsia" w:eastAsia="仿宋" w:cs="仿宋"/>
          <w:color w:val="000000" w:themeColor="text1"/>
          <w:lang w:val="zh-CN" w:bidi="ar"/>
          <w14:textFill>
            <w14:solidFill>
              <w14:schemeClr w14:val="tx1"/>
            </w14:solidFill>
          </w14:textFill>
        </w:rPr>
        <w:t>会</w:t>
      </w:r>
      <w:r>
        <w:rPr>
          <w:rFonts w:hint="eastAsia" w:ascii="Times New Roman" w:hAnsi="Times New Roman" w:eastAsia="仿宋" w:cs="仿宋"/>
          <w:color w:val="000000" w:themeColor="text1"/>
          <w:lang w:val="zh-CN" w:bidi="ar"/>
          <w14:textFill>
            <w14:solidFill>
              <w14:schemeClr w14:val="tx1"/>
            </w14:solidFill>
          </w14:textFill>
        </w:rPr>
        <w:t>审议，落实过程中，严格遵照相关标准执行，未收到教职工和学员的投诉，始终确保项目申报内容与具体实施内容相符。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黑体" w:cs="Times New Roman"/>
          <w:color w:val="000000" w:themeColor="text1"/>
          <w:sz w:val="32"/>
          <w:lang w:val="en-US"/>
          <w14:textFill>
            <w14:solidFill>
              <w14:schemeClr w14:val="tx1"/>
            </w14:solidFill>
          </w14:textFill>
        </w:rPr>
      </w:pPr>
      <w:r>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t>二、项目实施及管理情况</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楷体_GB2312" w:cs="Times New Roman"/>
          <w:b w:val="0"/>
          <w:bCs w:val="0"/>
          <w:color w:val="000000" w:themeColor="text1"/>
          <w:sz w:val="32"/>
          <w:lang w:val="zh-CN" w:eastAsia="zh-CN"/>
          <w14:textFill>
            <w14:solidFill>
              <w14:schemeClr w14:val="tx1"/>
            </w14:solidFill>
          </w14:textFill>
        </w:rPr>
      </w:pPr>
      <w:r>
        <w:rPr>
          <w:rFonts w:hint="default" w:ascii="Times New Roman" w:hAnsi="Times New Roman" w:eastAsia="楷体_GB2312" w:cs="Times New Roman"/>
          <w:b w:val="0"/>
          <w:bCs w:val="0"/>
          <w:color w:val="000000" w:themeColor="text1"/>
          <w:kern w:val="2"/>
          <w:sz w:val="32"/>
          <w:szCs w:val="24"/>
          <w:lang w:val="zh-CN" w:eastAsia="zh-CN" w:bidi="ar"/>
          <w14:textFill>
            <w14:solidFill>
              <w14:schemeClr w14:val="tx1"/>
            </w14:solidFill>
          </w14:textFill>
        </w:rPr>
        <w:t>（一）资金计划、到位及使用情况。</w:t>
      </w:r>
    </w:p>
    <w:p>
      <w:pPr>
        <w:adjustRightInd w:val="0"/>
        <w:snapToGrid w:val="0"/>
        <w:spacing w:line="560" w:lineRule="exact"/>
        <w:ind w:firstLine="720"/>
        <w:rPr>
          <w:rFonts w:ascii="Times New Roman" w:hAnsi="Times New Roman" w:cs="仿宋_GB2312"/>
          <w:color w:val="000000" w:themeColor="text1"/>
          <w:lang w:bidi="ar"/>
          <w14:textFill>
            <w14:solidFill>
              <w14:schemeClr w14:val="tx1"/>
            </w14:solidFill>
          </w14:textFill>
        </w:rPr>
      </w:pPr>
      <w:r>
        <w:rPr>
          <w:rFonts w:hint="default" w:ascii="Times New Roman" w:hAnsi="Times New Roman" w:eastAsia="楷体_GB2312" w:cs="Times New Roman"/>
          <w:color w:val="000000" w:themeColor="text1"/>
          <w:kern w:val="2"/>
          <w:sz w:val="32"/>
          <w:szCs w:val="24"/>
          <w:lang w:val="zh-CN" w:eastAsia="zh-CN" w:bidi="ar"/>
          <w14:textFill>
            <w14:solidFill>
              <w14:schemeClr w14:val="tx1"/>
            </w14:solidFill>
          </w14:textFill>
        </w:rPr>
        <w:t>1．资金计划及到位。</w:t>
      </w:r>
      <w:r>
        <w:rPr>
          <w:rFonts w:hint="eastAsia" w:ascii="Times New Roman" w:hAnsi="Times New Roman" w:cs="仿宋_GB2312"/>
          <w:color w:val="000000" w:themeColor="text1"/>
          <w:lang w:val="zh-CN" w:bidi="ar"/>
          <w14:textFill>
            <w14:solidFill>
              <w14:schemeClr w14:val="tx1"/>
            </w14:solidFill>
          </w14:textFill>
        </w:rPr>
        <w:t>该项目</w:t>
      </w:r>
      <w:r>
        <w:rPr>
          <w:rFonts w:hint="eastAsia" w:ascii="Times New Roman" w:hAnsi="Times New Roman" w:cs="仿宋_GB2312"/>
          <w:color w:val="000000" w:themeColor="text1"/>
          <w:lang w:bidi="ar"/>
          <w14:textFill>
            <w14:solidFill>
              <w14:schemeClr w14:val="tx1"/>
            </w14:solidFill>
          </w14:textFill>
        </w:rPr>
        <w:t>资金年初预算</w:t>
      </w:r>
      <w:r>
        <w:rPr>
          <w:rFonts w:hint="eastAsia" w:eastAsia="仿宋" w:cs="仿宋"/>
          <w:color w:val="000000" w:themeColor="text1"/>
          <w:lang w:val="en-US" w:eastAsia="zh-CN" w:bidi="ar"/>
          <w14:textFill>
            <w14:solidFill>
              <w14:schemeClr w14:val="tx1"/>
            </w14:solidFill>
          </w14:textFill>
        </w:rPr>
        <w:t>88.55</w:t>
      </w:r>
      <w:r>
        <w:rPr>
          <w:rFonts w:hint="eastAsia" w:ascii="Times New Roman" w:hAnsi="Times New Roman" w:cs="仿宋_GB2312"/>
          <w:color w:val="000000" w:themeColor="text1"/>
          <w:lang w:bidi="ar"/>
          <w14:textFill>
            <w14:solidFill>
              <w14:schemeClr w14:val="tx1"/>
            </w14:solidFill>
          </w14:textFill>
        </w:rPr>
        <w:t>万元，全部</w:t>
      </w:r>
      <w:r>
        <w:rPr>
          <w:rFonts w:ascii="Times New Roman" w:hAnsi="Times New Roman" w:cs="仿宋_GB2312"/>
          <w:color w:val="000000" w:themeColor="text1"/>
          <w:lang w:bidi="ar"/>
          <w14:textFill>
            <w14:solidFill>
              <w14:schemeClr w14:val="tx1"/>
            </w14:solidFill>
          </w14:textFill>
        </w:rPr>
        <w:t>为</w:t>
      </w:r>
      <w:r>
        <w:rPr>
          <w:rFonts w:hint="eastAsia" w:ascii="Times New Roman" w:hAnsi="Times New Roman" w:cs="仿宋_GB2312"/>
          <w:color w:val="000000" w:themeColor="text1"/>
          <w:lang w:bidi="ar"/>
          <w14:textFill>
            <w14:solidFill>
              <w14:schemeClr w14:val="tx1"/>
            </w14:solidFill>
          </w14:textFill>
        </w:rPr>
        <w:t>一般公共预算财政拨款资金。全年调整预算数为</w:t>
      </w:r>
      <w:r>
        <w:rPr>
          <w:rFonts w:hint="eastAsia" w:cs="仿宋_GB2312"/>
          <w:color w:val="000000" w:themeColor="text1"/>
          <w:lang w:val="en-US" w:eastAsia="zh-CN" w:bidi="ar"/>
          <w14:textFill>
            <w14:solidFill>
              <w14:schemeClr w14:val="tx1"/>
            </w14:solidFill>
          </w14:textFill>
        </w:rPr>
        <w:t>91.58</w:t>
      </w:r>
      <w:r>
        <w:rPr>
          <w:rFonts w:hint="eastAsia" w:ascii="Times New Roman" w:hAnsi="Times New Roman" w:cs="仿宋_GB2312"/>
          <w:color w:val="000000" w:themeColor="text1"/>
          <w:lang w:bidi="ar"/>
          <w14:textFill>
            <w14:solidFill>
              <w14:schemeClr w14:val="tx1"/>
            </w14:solidFill>
          </w14:textFill>
        </w:rPr>
        <w:t>万元，资金到位及时。</w:t>
      </w:r>
    </w:p>
    <w:p>
      <w:pPr>
        <w:adjustRightInd w:val="0"/>
        <w:snapToGrid w:val="0"/>
        <w:spacing w:line="580" w:lineRule="exact"/>
        <w:ind w:firstLine="720"/>
        <w:rPr>
          <w:rFonts w:ascii="Times New Roman" w:hAnsi="Times New Roman" w:eastAsia="仿宋" w:cs="仿宋"/>
          <w:color w:val="000000" w:themeColor="text1"/>
          <w:lang w:bidi="ar"/>
          <w14:textFill>
            <w14:solidFill>
              <w14:schemeClr w14:val="tx1"/>
            </w14:solidFill>
          </w14:textFill>
        </w:rPr>
      </w:pPr>
      <w:r>
        <w:rPr>
          <w:rFonts w:hint="default" w:ascii="Times New Roman" w:hAnsi="Times New Roman" w:eastAsia="楷体_GB2312" w:cs="Times New Roman"/>
          <w:color w:val="000000" w:themeColor="text1"/>
          <w:kern w:val="2"/>
          <w:sz w:val="32"/>
          <w:szCs w:val="24"/>
          <w:lang w:val="zh-CN" w:eastAsia="zh-CN" w:bidi="ar"/>
          <w14:textFill>
            <w14:solidFill>
              <w14:schemeClr w14:val="tx1"/>
            </w14:solidFill>
          </w14:textFill>
        </w:rPr>
        <w:t>2．资金使用。</w:t>
      </w:r>
      <w:r>
        <w:rPr>
          <w:rFonts w:hint="eastAsia" w:ascii="Times New Roman" w:hAnsi="Times New Roman" w:eastAsia="仿宋" w:cs="仿宋"/>
          <w:color w:val="000000" w:themeColor="text1"/>
          <w:lang w:bidi="ar"/>
          <w14:textFill>
            <w14:solidFill>
              <w14:schemeClr w14:val="tx1"/>
            </w14:solidFill>
          </w14:textFill>
        </w:rPr>
        <w:t>本</w:t>
      </w:r>
      <w:r>
        <w:rPr>
          <w:rFonts w:hint="eastAsia" w:ascii="Times New Roman" w:hAnsi="Times New Roman" w:eastAsia="仿宋" w:cs="仿宋"/>
          <w:color w:val="000000" w:themeColor="text1"/>
          <w:lang w:val="zh-CN" w:bidi="ar"/>
          <w14:textFill>
            <w14:solidFill>
              <w14:schemeClr w14:val="tx1"/>
            </w14:solidFill>
          </w14:textFill>
        </w:rPr>
        <w:t>项目严格按照资金支付规定和合同的履约标准进行支付，</w:t>
      </w:r>
      <w:r>
        <w:rPr>
          <w:rFonts w:hint="eastAsia" w:ascii="Times New Roman" w:hAnsi="Times New Roman" w:eastAsia="仿宋" w:cs="仿宋"/>
          <w:color w:val="000000" w:themeColor="text1"/>
          <w:lang w:bidi="ar"/>
          <w14:textFill>
            <w14:solidFill>
              <w14:schemeClr w14:val="tx1"/>
            </w14:solidFill>
          </w14:textFill>
        </w:rPr>
        <w:t>其中物业管理、设施设备维护等服务的合同签订均请示校院委会，并与相应的供应商签订合同，相关明细和发票齐全</w:t>
      </w:r>
      <w:r>
        <w:rPr>
          <w:rFonts w:hint="eastAsia" w:ascii="Times New Roman" w:hAnsi="Times New Roman" w:eastAsia="仿宋" w:cs="仿宋"/>
          <w:color w:val="000000" w:themeColor="text1"/>
          <w:lang w:eastAsia="zh-CN" w:bidi="ar"/>
          <w14:textFill>
            <w14:solidFill>
              <w14:schemeClr w14:val="tx1"/>
            </w14:solidFill>
          </w14:textFill>
        </w:rPr>
        <w:t>，</w:t>
      </w:r>
      <w:r>
        <w:rPr>
          <w:rFonts w:hint="eastAsia" w:ascii="Times New Roman" w:hAnsi="Times New Roman" w:eastAsia="仿宋" w:cs="仿宋"/>
          <w:color w:val="000000" w:themeColor="text1"/>
          <w:lang w:bidi="ar"/>
          <w14:textFill>
            <w14:solidFill>
              <w14:schemeClr w14:val="tx1"/>
            </w14:solidFill>
          </w14:textFill>
        </w:rPr>
        <w:t>严格按合同要求进行资金支付</w:t>
      </w:r>
      <w:r>
        <w:rPr>
          <w:rFonts w:hint="eastAsia" w:ascii="Times New Roman" w:hAnsi="Times New Roman" w:eastAsia="仿宋" w:cs="仿宋"/>
          <w:color w:val="000000" w:themeColor="text1"/>
          <w:lang w:val="zh-CN" w:bidi="ar"/>
          <w14:textFill>
            <w14:solidFill>
              <w14:schemeClr w14:val="tx1"/>
            </w14:solidFill>
          </w14:textFill>
        </w:rPr>
        <w:t>。</w:t>
      </w:r>
      <w:r>
        <w:rPr>
          <w:rFonts w:hint="eastAsia" w:eastAsia="仿宋" w:cs="仿宋"/>
          <w:color w:val="000000" w:themeColor="text1"/>
          <w:lang w:val="en-US" w:eastAsia="zh-CN" w:bidi="ar"/>
          <w14:textFill>
            <w14:solidFill>
              <w14:schemeClr w14:val="tx1"/>
            </w14:solidFill>
          </w14:textFill>
        </w:rPr>
        <w:t>2025</w:t>
      </w:r>
      <w:r>
        <w:rPr>
          <w:rFonts w:hint="eastAsia" w:ascii="Times New Roman" w:hAnsi="Times New Roman" w:eastAsia="仿宋" w:cs="仿宋"/>
          <w:color w:val="000000" w:themeColor="text1"/>
          <w:lang w:bidi="ar"/>
          <w14:textFill>
            <w14:solidFill>
              <w14:schemeClr w14:val="tx1"/>
            </w14:solidFill>
          </w14:textFill>
        </w:rPr>
        <w:t>年，</w:t>
      </w:r>
      <w:r>
        <w:rPr>
          <w:rFonts w:hint="eastAsia" w:ascii="Times New Roman" w:hAnsi="Times New Roman" w:cs="仿宋_GB2312"/>
          <w:color w:val="000000" w:themeColor="text1"/>
          <w:lang w:bidi="ar"/>
          <w14:textFill>
            <w14:solidFill>
              <w14:schemeClr w14:val="tx1"/>
            </w14:solidFill>
          </w14:textFill>
        </w:rPr>
        <w:t>市委党校后勤保障工作经费</w:t>
      </w:r>
      <w:r>
        <w:rPr>
          <w:rFonts w:hint="eastAsia" w:ascii="Times New Roman" w:hAnsi="Times New Roman" w:eastAsia="仿宋" w:cs="仿宋"/>
          <w:color w:val="000000" w:themeColor="text1"/>
          <w:lang w:bidi="ar"/>
          <w14:textFill>
            <w14:solidFill>
              <w14:schemeClr w14:val="tx1"/>
            </w14:solidFill>
          </w14:textFill>
        </w:rPr>
        <w:t>项目共计支出</w:t>
      </w:r>
      <w:r>
        <w:rPr>
          <w:rFonts w:hint="eastAsia" w:eastAsia="仿宋" w:cs="仿宋"/>
          <w:color w:val="000000" w:themeColor="text1"/>
          <w:lang w:val="en-US" w:eastAsia="zh-CN" w:bidi="ar"/>
          <w14:textFill>
            <w14:solidFill>
              <w14:schemeClr w14:val="tx1"/>
            </w14:solidFill>
          </w14:textFill>
        </w:rPr>
        <w:t>91.58</w:t>
      </w:r>
      <w:r>
        <w:rPr>
          <w:rFonts w:hint="eastAsia" w:ascii="Times New Roman" w:hAnsi="Times New Roman" w:eastAsia="仿宋" w:cs="仿宋"/>
          <w:color w:val="000000" w:themeColor="text1"/>
          <w:lang w:bidi="ar"/>
          <w14:textFill>
            <w14:solidFill>
              <w14:schemeClr w14:val="tx1"/>
            </w14:solidFill>
          </w14:textFill>
        </w:rPr>
        <w:t>万元，支付依据合规合法，与预算相符。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ascii="Times New Roman" w:hAnsi="Times New Roman" w:eastAsia="仿宋" w:cs="仿宋"/>
          <w:color w:val="000000" w:themeColor="text1"/>
          <w:lang w:val="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（二）项目财务管理情况。</w:t>
      </w:r>
      <w:r>
        <w:rPr>
          <w:rFonts w:hint="eastAsia" w:ascii="Times New Roman" w:hAnsi="Times New Roman" w:eastAsia="仿宋" w:cs="仿宋"/>
          <w:color w:val="000000" w:themeColor="text1"/>
          <w:lang w:val="zh-CN" w:bidi="ar"/>
          <w14:textFill>
            <w14:solidFill>
              <w14:schemeClr w14:val="tx1"/>
            </w14:solidFill>
          </w14:textFill>
        </w:rPr>
        <w:t>该项目严格执行我校《物资采购管理制度》《中共自贡市委党校内部控制手册》《合同管理暂行办法》等制度规范，涉及服务类的事项，都经过校院</w:t>
      </w:r>
      <w:r>
        <w:rPr>
          <w:rFonts w:hint="eastAsia" w:eastAsia="仿宋" w:cs="仿宋"/>
          <w:color w:val="000000" w:themeColor="text1"/>
          <w:lang w:val="zh-CN" w:bidi="ar"/>
          <w14:textFill>
            <w14:solidFill>
              <w14:schemeClr w14:val="tx1"/>
            </w14:solidFill>
          </w14:textFill>
        </w:rPr>
        <w:t>委</w:t>
      </w:r>
      <w:r>
        <w:rPr>
          <w:rFonts w:hint="eastAsia" w:ascii="Times New Roman" w:hAnsi="Times New Roman" w:eastAsia="仿宋" w:cs="仿宋"/>
          <w:color w:val="000000" w:themeColor="text1"/>
          <w:lang w:val="zh-CN" w:bidi="ar"/>
          <w14:textFill>
            <w14:solidFill>
              <w14:schemeClr w14:val="tx1"/>
            </w14:solidFill>
          </w14:textFill>
        </w:rPr>
        <w:t>会审议，</w:t>
      </w:r>
      <w:r>
        <w:rPr>
          <w:rFonts w:hint="eastAsia" w:ascii="Times New Roman" w:hAnsi="Times New Roman" w:eastAsia="仿宋" w:cs="仿宋"/>
          <w:color w:val="000000" w:themeColor="text1"/>
          <w:lang w:bidi="ar"/>
          <w14:textFill>
            <w14:solidFill>
              <w14:schemeClr w14:val="tx1"/>
            </w14:solidFill>
          </w14:textFill>
        </w:rPr>
        <w:t>并由后勤科负责</w:t>
      </w:r>
      <w:r>
        <w:rPr>
          <w:rFonts w:hint="eastAsia" w:ascii="Times New Roman" w:hAnsi="Times New Roman" w:eastAsia="仿宋" w:cs="仿宋"/>
          <w:color w:val="000000" w:themeColor="text1"/>
          <w:lang w:val="zh-CN" w:bidi="ar"/>
          <w14:textFill>
            <w14:solidFill>
              <w14:schemeClr w14:val="tx1"/>
            </w14:solidFill>
          </w14:textFill>
        </w:rPr>
        <w:t>对相应的设施设备和服务进行巡查。在资金支付环节，始终认真对照项目资金管理办法，专款专用，评价项目严格执行财务管理制度，处理及时，会计核算标准。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eastAsia" w:ascii="Times New Roman" w:hAnsi="Times New Roman" w:eastAsia="仿宋" w:cs="仿宋"/>
          <w:color w:val="000000" w:themeColor="text1"/>
          <w:lang w:val="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（三）项目组织实施情况。</w:t>
      </w:r>
      <w:r>
        <w:rPr>
          <w:rFonts w:hint="eastAsia" w:ascii="Times New Roman" w:hAnsi="Times New Roman" w:eastAsia="仿宋" w:cs="仿宋"/>
          <w:color w:val="000000" w:themeColor="text1"/>
          <w:lang w:val="zh-CN" w:bidi="ar"/>
          <w14:textFill>
            <w14:solidFill>
              <w14:schemeClr w14:val="tx1"/>
            </w14:solidFill>
          </w14:textFill>
        </w:rPr>
        <w:t>该项目由财务科负责资金申报，后勤科组织实施相应的采购。我校经过校院委</w:t>
      </w:r>
      <w:r>
        <w:rPr>
          <w:rFonts w:hint="eastAsia" w:ascii="Times New Roman" w:hAnsi="Times New Roman" w:eastAsia="仿宋" w:cs="仿宋"/>
          <w:color w:val="000000" w:themeColor="text1"/>
          <w:lang w:val="zh-CN" w:eastAsia="zh-CN" w:bidi="ar"/>
          <w14:textFill>
            <w14:solidFill>
              <w14:schemeClr w14:val="tx1"/>
            </w14:solidFill>
          </w14:textFill>
        </w:rPr>
        <w:t>会</w:t>
      </w:r>
      <w:r>
        <w:rPr>
          <w:rFonts w:hint="eastAsia" w:ascii="Times New Roman" w:hAnsi="Times New Roman" w:eastAsia="仿宋" w:cs="仿宋"/>
          <w:color w:val="000000" w:themeColor="text1"/>
          <w:lang w:val="zh-CN" w:bidi="ar"/>
          <w14:textFill>
            <w14:solidFill>
              <w14:schemeClr w14:val="tx1"/>
            </w14:solidFill>
          </w14:textFill>
        </w:rPr>
        <w:t>审议，社会化购买了</w:t>
      </w:r>
      <w:r>
        <w:rPr>
          <w:rFonts w:hint="eastAsia" w:ascii="Times New Roman" w:hAnsi="Times New Roman" w:eastAsia="仿宋" w:cs="仿宋"/>
          <w:color w:val="000000" w:themeColor="text1"/>
          <w:lang w:val="zh-CN" w:eastAsia="zh-CN" w:bidi="ar"/>
          <w14:textFill>
            <w14:solidFill>
              <w14:schemeClr w14:val="tx1"/>
            </w14:solidFill>
          </w14:textFill>
        </w:rPr>
        <w:t>物业管理</w:t>
      </w:r>
      <w:r>
        <w:rPr>
          <w:rFonts w:hint="eastAsia" w:ascii="Times New Roman" w:hAnsi="Times New Roman" w:eastAsia="仿宋" w:cs="仿宋"/>
          <w:color w:val="000000" w:themeColor="text1"/>
          <w:lang w:val="zh-CN" w:bidi="ar"/>
          <w14:textFill>
            <w14:solidFill>
              <w14:schemeClr w14:val="tx1"/>
            </w14:solidFill>
          </w14:textFill>
        </w:rPr>
        <w:t>服务</w:t>
      </w:r>
      <w:r>
        <w:rPr>
          <w:rFonts w:hint="eastAsia" w:ascii="Times New Roman" w:hAnsi="Times New Roman" w:eastAsia="仿宋" w:cs="仿宋"/>
          <w:color w:val="000000" w:themeColor="text1"/>
          <w:lang w:val="zh-CN" w:eastAsia="zh-CN" w:bidi="ar"/>
          <w14:textFill>
            <w14:solidFill>
              <w14:schemeClr w14:val="tx1"/>
            </w14:solidFill>
          </w14:textFill>
        </w:rPr>
        <w:t>、</w:t>
      </w:r>
      <w:r>
        <w:rPr>
          <w:rFonts w:hint="eastAsia" w:ascii="Times New Roman" w:hAnsi="Times New Roman" w:eastAsia="仿宋" w:cs="仿宋"/>
          <w:color w:val="000000" w:themeColor="text1"/>
          <w:lang w:val="zh-CN" w:bidi="ar"/>
          <w14:textFill>
            <w14:solidFill>
              <w14:schemeClr w14:val="tx1"/>
            </w14:solidFill>
          </w14:textFill>
        </w:rPr>
        <w:t>电梯维修维护等，建立了相应的台账，如电梯安全检查台账，并按合同要求进行资金支付，确保学校正常运转。我校不定期对各项服务工作进行检查，根据实际服务情况和收据凭证按时支付服务费，确保账实相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仿宋_GB2312" w:cs="Times New Roman"/>
          <w:color w:val="000000" w:themeColor="text1"/>
          <w:sz w:val="32"/>
          <w:lang w:val="zh-CN" w:eastAsia="zh-CN"/>
          <w14:textFill>
            <w14:solidFill>
              <w14:schemeClr w14:val="tx1"/>
            </w14:solidFill>
          </w14:textFill>
        </w:rPr>
      </w:pPr>
      <w:r>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t>三、项目绩效情况</w:t>
      </w:r>
      <w:r>
        <w:rPr>
          <w:rFonts w:hint="default" w:ascii="Times New Roman" w:hAnsi="Times New Roman" w:eastAsia="仿宋_GB2312" w:cs="Times New Roman"/>
          <w:color w:val="000000" w:themeColor="text1"/>
          <w:kern w:val="2"/>
          <w:sz w:val="32"/>
          <w:szCs w:val="24"/>
          <w:lang w:val="zh-CN" w:eastAsia="zh-CN" w:bidi="ar"/>
          <w14:textFill>
            <w14:solidFill>
              <w14:schemeClr w14:val="tx1"/>
            </w14:solidFill>
          </w14:textFill>
        </w:rPr>
        <w:tab/>
      </w:r>
    </w:p>
    <w:p>
      <w:pPr>
        <w:adjustRightInd w:val="0"/>
        <w:snapToGrid w:val="0"/>
        <w:spacing w:line="592" w:lineRule="exact"/>
        <w:ind w:firstLine="720"/>
        <w:rPr>
          <w:rFonts w:hint="eastAsia" w:ascii="Times New Roman" w:hAnsi="Times New Roman" w:cs="仿宋_GB2312"/>
          <w:color w:val="000000" w:themeColor="text1"/>
          <w:lang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（一）项目完成情况。</w:t>
      </w:r>
      <w:r>
        <w:rPr>
          <w:rFonts w:hint="eastAsia" w:ascii="Times New Roman" w:hAnsi="Times New Roman" w:cs="仿宋_GB2312"/>
          <w:color w:val="000000" w:themeColor="text1"/>
          <w:lang w:val="zh-CN" w:bidi="ar"/>
          <w14:textFill>
            <w14:solidFill>
              <w14:schemeClr w14:val="tx1"/>
            </w14:solidFill>
          </w14:textFill>
        </w:rPr>
        <w:t>本项目所有绩效指标基本完成。</w:t>
      </w:r>
      <w:r>
        <w:rPr>
          <w:rFonts w:hint="eastAsia" w:ascii="Times New Roman" w:hAnsi="Times New Roman" w:eastAsia="仿宋" w:cs="仿宋"/>
          <w:color w:val="000000" w:themeColor="text1"/>
          <w:lang w:val="en-US" w:eastAsia="zh-CN" w:bidi="ar"/>
          <w14:textFill>
            <w14:solidFill>
              <w14:schemeClr w14:val="tx1"/>
            </w14:solidFill>
          </w14:textFill>
        </w:rPr>
        <w:t>配置专业物业服务人员23人，校园维修维护次数20次，每季度物业服务评分考核优秀率99%，物业服务时限12个月，</w:t>
      </w:r>
      <w:r>
        <w:rPr>
          <w:rFonts w:hint="eastAsia" w:ascii="Times New Roman" w:hAnsi="Times New Roman" w:cs="仿宋_GB2312"/>
          <w:color w:val="000000" w:themeColor="text1"/>
          <w:lang w:bidi="ar"/>
          <w14:textFill>
            <w14:solidFill>
              <w14:schemeClr w14:val="tx1"/>
            </w14:solidFill>
          </w14:textFill>
        </w:rPr>
        <w:t>确保了学校正常、高效运转</w:t>
      </w:r>
      <w:r>
        <w:rPr>
          <w:rFonts w:hint="eastAsia" w:ascii="Times New Roman" w:hAnsi="Times New Roman" w:cs="仿宋_GB2312"/>
          <w:color w:val="000000" w:themeColor="text1"/>
          <w:lang w:eastAsia="zh-CN" w:bidi="ar"/>
          <w14:textFill>
            <w14:solidFill>
              <w14:schemeClr w14:val="tx1"/>
            </w14:solidFill>
          </w14:textFill>
        </w:rPr>
        <w:t>，</w:t>
      </w:r>
      <w:r>
        <w:rPr>
          <w:rFonts w:hint="eastAsia" w:ascii="Times New Roman" w:hAnsi="Times New Roman" w:eastAsia="仿宋" w:cs="仿宋"/>
          <w:color w:val="000000" w:themeColor="text1"/>
          <w:lang w:val="en-US" w:eastAsia="zh-CN" w:bidi="ar"/>
          <w14:textFill>
            <w14:solidFill>
              <w14:schemeClr w14:val="tx1"/>
            </w14:solidFill>
          </w14:textFill>
        </w:rPr>
        <w:t>促进了党校培训工作。</w:t>
      </w:r>
    </w:p>
    <w:p>
      <w:pPr>
        <w:adjustRightInd w:val="0"/>
        <w:snapToGrid w:val="0"/>
        <w:spacing w:line="580" w:lineRule="exact"/>
        <w:ind w:firstLine="720"/>
        <w:rPr>
          <w:rFonts w:ascii="Times New Roman" w:hAnsi="Times New Roman" w:eastAsia="仿宋" w:cs="仿宋"/>
          <w:color w:val="000000" w:themeColor="text1"/>
          <w:lang w:val="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（二）项目效益情况。</w:t>
      </w:r>
      <w:r>
        <w:rPr>
          <w:rFonts w:hint="eastAsia" w:ascii="Times New Roman" w:hAnsi="Times New Roman" w:cs="仿宋_GB2312"/>
          <w:color w:val="000000" w:themeColor="text1"/>
          <w:lang w:bidi="ar"/>
          <w14:textFill>
            <w14:solidFill>
              <w14:schemeClr w14:val="tx1"/>
            </w14:solidFill>
          </w14:textFill>
        </w:rPr>
        <w:t>后勤服务保障到位</w:t>
      </w:r>
      <w:r>
        <w:rPr>
          <w:rFonts w:hint="eastAsia" w:ascii="Times New Roman" w:hAnsi="Times New Roman" w:cs="仿宋_GB2312"/>
          <w:color w:val="000000" w:themeColor="text1"/>
          <w:lang w:eastAsia="zh-CN" w:bidi="ar"/>
          <w14:textFill>
            <w14:solidFill>
              <w14:schemeClr w14:val="tx1"/>
            </w14:solidFill>
          </w14:textFill>
        </w:rPr>
        <w:t>，</w:t>
      </w:r>
      <w:r>
        <w:rPr>
          <w:rFonts w:hint="eastAsia" w:ascii="Times New Roman" w:hAnsi="Times New Roman" w:cs="仿宋_GB2312"/>
          <w:color w:val="000000" w:themeColor="text1"/>
          <w:lang w:val="zh-CN" w:eastAsia="zh-CN" w:bidi="ar"/>
          <w14:textFill>
            <w14:solidFill>
              <w14:schemeClr w14:val="tx1"/>
            </w14:solidFill>
          </w14:textFill>
        </w:rPr>
        <w:t>受益学员数量达</w:t>
      </w:r>
      <w:r>
        <w:rPr>
          <w:rFonts w:hint="eastAsia" w:ascii="Times New Roman" w:hAnsi="Times New Roman" w:cs="仿宋_GB2312"/>
          <w:color w:val="000000" w:themeColor="text1"/>
          <w:lang w:val="en-US" w:eastAsia="zh-CN" w:bidi="ar"/>
          <w14:textFill>
            <w14:solidFill>
              <w14:schemeClr w14:val="tx1"/>
            </w14:solidFill>
          </w14:textFill>
        </w:rPr>
        <w:t>4117人次。</w:t>
      </w:r>
      <w:r>
        <w:rPr>
          <w:rFonts w:hint="eastAsia" w:ascii="Times New Roman" w:hAnsi="Times New Roman" w:cs="仿宋_GB2312"/>
          <w:color w:val="000000" w:themeColor="text1"/>
          <w:lang w:bidi="ar"/>
          <w14:textFill>
            <w14:solidFill>
              <w14:schemeClr w14:val="tx1"/>
            </w14:solidFill>
          </w14:textFill>
        </w:rPr>
        <w:t>设施设备的有效运转，确保了学校正常、高效运转。未出现教职工投诉现象，教职工和学员满意度较高。</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黑体" w:cs="Times New Roman"/>
          <w:color w:val="000000" w:themeColor="text1"/>
          <w:sz w:val="32"/>
          <w:lang w:val="en-US"/>
          <w14:textFill>
            <w14:solidFill>
              <w14:schemeClr w14:val="tx1"/>
            </w14:solidFill>
          </w14:textFill>
        </w:rPr>
      </w:pPr>
      <w:r>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t>四、问题及建议</w:t>
      </w:r>
    </w:p>
    <w:p>
      <w:pPr>
        <w:adjustRightInd w:val="0"/>
        <w:snapToGrid w:val="0"/>
        <w:spacing w:line="580" w:lineRule="exact"/>
        <w:ind w:firstLine="720"/>
        <w:rPr>
          <w:rFonts w:hint="default" w:ascii="Times New Roman" w:hAnsi="Times New Roman" w:eastAsia="楷体_GB2312" w:cs="Times New Roman"/>
          <w:b w:val="0"/>
          <w:bCs/>
          <w:color w:val="000000" w:themeColor="text1"/>
          <w:sz w:val="32"/>
          <w:lang w:val="zh-CN" w:eastAsia="zh-CN"/>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（一）存在的问题。</w:t>
      </w:r>
      <w:r>
        <w:rPr>
          <w:rFonts w:hint="eastAsia" w:ascii="Times New Roman" w:hAnsi="Times New Roman" w:eastAsia="仿宋" w:cs="仿宋"/>
          <w:color w:val="000000" w:themeColor="text1"/>
          <w:lang w:val="zh-CN" w:bidi="ar"/>
          <w14:textFill>
            <w14:solidFill>
              <w14:schemeClr w14:val="tx1"/>
            </w14:solidFill>
          </w14:textFill>
        </w:rPr>
        <w:t>一是认识教育有待强化。对于相关政策、文件的学习仍需提升，对相关人员的教育培训不够，对相应政策的学习不够深入。因此，还需加强对后勤保障及时性、廉洁性的重视和认识，避免出现对服务质效不高、廉洁意识不强的人员。二是制度保障有待完善。一套流程从申报到执行到办结的标准亟待细化，确保做到高效、合规地提供服务保障。</w:t>
      </w:r>
    </w:p>
    <w:p>
      <w:pPr>
        <w:adjustRightInd w:val="0"/>
        <w:snapToGrid w:val="0"/>
        <w:spacing w:line="580" w:lineRule="exact"/>
        <w:ind w:firstLine="720"/>
        <w:rPr>
          <w:rFonts w:hint="default"/>
          <w:color w:val="000000" w:themeColor="text1"/>
          <w:lang w:val="en-US" w:eastAsia="zh-CN"/>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（二）相关建议。</w:t>
      </w:r>
      <w:r>
        <w:rPr>
          <w:rFonts w:hint="eastAsia" w:ascii="Times New Roman" w:hAnsi="Times New Roman" w:eastAsia="仿宋" w:cs="仿宋"/>
          <w:color w:val="000000" w:themeColor="text1"/>
          <w:lang w:val="zh-CN" w:bidi="ar"/>
          <w14:textFill>
            <w14:solidFill>
              <w14:schemeClr w14:val="tx1"/>
            </w14:solidFill>
          </w14:textFill>
        </w:rPr>
        <w:t>一是加强相关的宣传和学习。可组织对一些绩效目标实践的创新做法进行宣传或学习，特别是在社会化购买服务方面，以拓宽工作思路和眼界；二是加强对于制度建设的指导。能够指导完善和健全规章制度、工作规程等一系列具有科学性、规范性和长效性的相应工作制度，以发挥其规范和约束行为功能，使相关工作有章可循。</w:t>
      </w: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center"/>
        <w:outlineLvl w:val="0"/>
        <w:rPr>
          <w:rFonts w:hint="eastAsia" w:ascii="Times New Roman" w:hAnsi="Times New Roman" w:eastAsia="黑体"/>
          <w:caps w:val="0"/>
          <w:color w:val="000000"/>
          <w:sz w:val="44"/>
          <w:szCs w:val="44"/>
        </w:rPr>
      </w:pPr>
    </w:p>
    <w:p>
      <w:pPr>
        <w:spacing w:line="600" w:lineRule="exact"/>
        <w:jc w:val="both"/>
        <w:outlineLvl w:val="0"/>
        <w:rPr>
          <w:rFonts w:hint="eastAsia" w:ascii="Times New Roman" w:hAnsi="Times New Roman" w:eastAsia="黑体"/>
          <w:caps w:val="0"/>
          <w:color w:val="000000"/>
          <w:sz w:val="44"/>
          <w:szCs w:val="44"/>
        </w:rPr>
      </w:pPr>
    </w:p>
    <w:p>
      <w:pPr>
        <w:spacing w:line="600" w:lineRule="exact"/>
        <w:jc w:val="center"/>
        <w:outlineLvl w:val="0"/>
        <w:rPr>
          <w:rStyle w:val="19"/>
          <w:rFonts w:ascii="Times New Roman" w:hAnsi="Times New Roman" w:eastAsia="黑体"/>
          <w:b w:val="0"/>
          <w:caps w:val="0"/>
        </w:rPr>
      </w:pPr>
      <w:r>
        <w:rPr>
          <w:rFonts w:hint="eastAsia" w:ascii="Times New Roman" w:hAnsi="Times New Roman" w:eastAsia="黑体"/>
          <w:caps w:val="0"/>
          <w:color w:val="000000"/>
          <w:sz w:val="44"/>
          <w:szCs w:val="44"/>
        </w:rPr>
        <w:t>第</w:t>
      </w:r>
      <w:r>
        <w:rPr>
          <w:rStyle w:val="19"/>
          <w:rFonts w:hint="eastAsia" w:ascii="Times New Roman" w:hAnsi="Times New Roman" w:eastAsia="黑体"/>
          <w:b w:val="0"/>
          <w:caps w:val="0"/>
        </w:rPr>
        <w:t>五部分</w:t>
      </w:r>
      <w:r>
        <w:rPr>
          <w:rStyle w:val="19"/>
          <w:rFonts w:ascii="Times New Roman" w:hAnsi="Times New Roman" w:eastAsia="黑体"/>
          <w:b w:val="0"/>
          <w:caps w:val="0"/>
        </w:rPr>
        <w:t xml:space="preserve"> </w:t>
      </w:r>
      <w:r>
        <w:rPr>
          <w:rStyle w:val="19"/>
          <w:rFonts w:hint="eastAsia" w:ascii="Times New Roman" w:hAnsi="Times New Roman" w:eastAsia="黑体"/>
          <w:b w:val="0"/>
          <w:caps w:val="0"/>
        </w:rPr>
        <w:t>附表</w:t>
      </w:r>
      <w:bookmarkEnd w:id="54"/>
      <w:bookmarkEnd w:id="55"/>
      <w:bookmarkEnd w:id="56"/>
    </w:p>
    <w:p>
      <w:pPr>
        <w:spacing w:line="600" w:lineRule="exact"/>
        <w:jc w:val="center"/>
        <w:outlineLvl w:val="0"/>
        <w:rPr>
          <w:rFonts w:ascii="Times New Roman" w:hAnsi="Times New Roman" w:eastAsia="仿宋"/>
          <w:b/>
          <w:caps w:val="0"/>
          <w:color w:val="000000"/>
          <w:sz w:val="44"/>
          <w:szCs w:val="44"/>
        </w:rPr>
      </w:pPr>
    </w:p>
    <w:p>
      <w:pPr>
        <w:pStyle w:val="4"/>
        <w:rPr>
          <w:rFonts w:ascii="Times New Roman" w:hAnsi="Times New Roman" w:eastAsia="仿宋"/>
          <w:caps w:val="0"/>
          <w:color w:val="auto"/>
          <w:highlight w:val="none"/>
        </w:rPr>
      </w:pPr>
      <w:bookmarkStart w:id="58" w:name="_Toc21455"/>
      <w:r>
        <w:rPr>
          <w:rFonts w:hint="eastAsia" w:ascii="Times New Roman" w:hAnsi="Times New Roman" w:eastAsia="仿宋"/>
          <w:b w:val="0"/>
          <w:caps w:val="0"/>
          <w:color w:val="auto"/>
          <w:highlight w:val="none"/>
        </w:rPr>
        <w:t>一、收</w:t>
      </w:r>
      <w:r>
        <w:rPr>
          <w:rStyle w:val="23"/>
          <w:rFonts w:hint="eastAsia" w:ascii="Times New Roman" w:hAnsi="Times New Roman" w:eastAsia="仿宋"/>
          <w:b w:val="0"/>
          <w:bCs w:val="0"/>
          <w:caps w:val="0"/>
          <w:color w:val="auto"/>
          <w:highlight w:val="none"/>
        </w:rPr>
        <w:t>入支出决算总表</w:t>
      </w:r>
      <w:bookmarkEnd w:id="58"/>
    </w:p>
    <w:p>
      <w:pPr>
        <w:pStyle w:val="4"/>
        <w:rPr>
          <w:rFonts w:ascii="Times New Roman" w:hAnsi="Times New Roman" w:eastAsia="仿宋"/>
          <w:caps w:val="0"/>
          <w:color w:val="auto"/>
          <w:highlight w:val="none"/>
        </w:rPr>
      </w:pPr>
      <w:bookmarkStart w:id="59" w:name="_Toc15396620"/>
      <w:bookmarkStart w:id="60" w:name="_Toc19902"/>
      <w:r>
        <w:rPr>
          <w:rFonts w:hint="eastAsia" w:ascii="Times New Roman" w:hAnsi="Times New Roman" w:eastAsia="仿宋"/>
          <w:b w:val="0"/>
          <w:caps w:val="0"/>
          <w:color w:val="auto"/>
          <w:highlight w:val="none"/>
        </w:rPr>
        <w:t>二、收</w:t>
      </w:r>
      <w:r>
        <w:rPr>
          <w:rStyle w:val="23"/>
          <w:rFonts w:hint="eastAsia" w:ascii="Times New Roman" w:hAnsi="Times New Roman" w:eastAsia="仿宋"/>
          <w:b w:val="0"/>
          <w:bCs w:val="0"/>
          <w:caps w:val="0"/>
          <w:color w:val="auto"/>
          <w:highlight w:val="none"/>
        </w:rPr>
        <w:t>入决算表</w:t>
      </w:r>
      <w:bookmarkEnd w:id="59"/>
      <w:bookmarkEnd w:id="60"/>
    </w:p>
    <w:p>
      <w:pPr>
        <w:pStyle w:val="4"/>
        <w:rPr>
          <w:rFonts w:ascii="Times New Roman" w:hAnsi="Times New Roman" w:eastAsia="仿宋"/>
          <w:caps w:val="0"/>
          <w:color w:val="auto"/>
          <w:highlight w:val="none"/>
        </w:rPr>
      </w:pPr>
      <w:bookmarkStart w:id="61" w:name="_Toc15396621"/>
      <w:bookmarkStart w:id="62" w:name="_Toc5842"/>
      <w:r>
        <w:rPr>
          <w:rStyle w:val="23"/>
          <w:rFonts w:hint="eastAsia" w:ascii="Times New Roman" w:hAnsi="Times New Roman" w:eastAsia="仿宋"/>
          <w:b w:val="0"/>
          <w:bCs w:val="0"/>
          <w:caps w:val="0"/>
          <w:color w:val="auto"/>
          <w:highlight w:val="none"/>
        </w:rPr>
        <w:t>三、</w:t>
      </w:r>
      <w:r>
        <w:rPr>
          <w:rFonts w:hint="eastAsia" w:ascii="Times New Roman" w:hAnsi="Times New Roman" w:eastAsia="仿宋"/>
          <w:b w:val="0"/>
          <w:caps w:val="0"/>
          <w:color w:val="auto"/>
          <w:highlight w:val="none"/>
        </w:rPr>
        <w:t>支</w:t>
      </w:r>
      <w:r>
        <w:rPr>
          <w:rStyle w:val="23"/>
          <w:rFonts w:hint="eastAsia" w:ascii="Times New Roman" w:hAnsi="Times New Roman" w:eastAsia="仿宋"/>
          <w:b w:val="0"/>
          <w:bCs w:val="0"/>
          <w:caps w:val="0"/>
          <w:color w:val="auto"/>
          <w:highlight w:val="none"/>
        </w:rPr>
        <w:t>出决算表</w:t>
      </w:r>
      <w:bookmarkEnd w:id="61"/>
      <w:bookmarkEnd w:id="62"/>
    </w:p>
    <w:p>
      <w:pPr>
        <w:pStyle w:val="4"/>
        <w:rPr>
          <w:rFonts w:ascii="Times New Roman" w:hAnsi="Times New Roman" w:eastAsia="仿宋"/>
          <w:b w:val="0"/>
          <w:caps w:val="0"/>
          <w:color w:val="auto"/>
          <w:highlight w:val="none"/>
        </w:rPr>
      </w:pPr>
      <w:bookmarkStart w:id="63" w:name="_Toc15396622"/>
      <w:bookmarkStart w:id="64" w:name="_Toc3877"/>
      <w:r>
        <w:rPr>
          <w:rStyle w:val="23"/>
          <w:rFonts w:hint="eastAsia" w:ascii="Times New Roman" w:hAnsi="Times New Roman" w:eastAsia="仿宋"/>
          <w:b w:val="0"/>
          <w:bCs w:val="0"/>
          <w:caps w:val="0"/>
          <w:color w:val="auto"/>
          <w:highlight w:val="none"/>
        </w:rPr>
        <w:t>四、</w:t>
      </w:r>
      <w:r>
        <w:rPr>
          <w:rFonts w:hint="eastAsia" w:ascii="Times New Roman" w:hAnsi="Times New Roman" w:eastAsia="仿宋"/>
          <w:b w:val="0"/>
          <w:caps w:val="0"/>
          <w:color w:val="auto"/>
          <w:highlight w:val="none"/>
        </w:rPr>
        <w:t>财</w:t>
      </w:r>
      <w:r>
        <w:rPr>
          <w:rStyle w:val="23"/>
          <w:rFonts w:hint="eastAsia" w:ascii="Times New Roman" w:hAnsi="Times New Roman" w:eastAsia="仿宋"/>
          <w:b w:val="0"/>
          <w:bCs w:val="0"/>
          <w:caps w:val="0"/>
          <w:color w:val="auto"/>
          <w:highlight w:val="none"/>
        </w:rPr>
        <w:t>政拨款收入支出决算总表</w:t>
      </w:r>
      <w:bookmarkEnd w:id="63"/>
      <w:bookmarkEnd w:id="64"/>
    </w:p>
    <w:p>
      <w:pPr>
        <w:pStyle w:val="4"/>
        <w:rPr>
          <w:rStyle w:val="23"/>
          <w:rFonts w:ascii="Times New Roman" w:hAnsi="Times New Roman" w:eastAsia="仿宋"/>
          <w:b w:val="0"/>
          <w:bCs w:val="0"/>
          <w:caps w:val="0"/>
          <w:color w:val="auto"/>
          <w:highlight w:val="none"/>
        </w:rPr>
      </w:pPr>
      <w:bookmarkStart w:id="65" w:name="_Toc15396623"/>
      <w:bookmarkStart w:id="66" w:name="_Toc750"/>
      <w:r>
        <w:rPr>
          <w:rStyle w:val="23"/>
          <w:rFonts w:hint="eastAsia" w:ascii="Times New Roman" w:hAnsi="Times New Roman" w:eastAsia="仿宋"/>
          <w:b w:val="0"/>
          <w:bCs w:val="0"/>
          <w:caps w:val="0"/>
          <w:color w:val="auto"/>
          <w:highlight w:val="none"/>
        </w:rPr>
        <w:t>五、</w:t>
      </w:r>
      <w:r>
        <w:rPr>
          <w:rFonts w:hint="eastAsia" w:ascii="Times New Roman" w:hAnsi="Times New Roman" w:eastAsia="仿宋"/>
          <w:b w:val="0"/>
          <w:caps w:val="0"/>
          <w:color w:val="auto"/>
          <w:highlight w:val="none"/>
        </w:rPr>
        <w:t>财</w:t>
      </w:r>
      <w:r>
        <w:rPr>
          <w:rStyle w:val="23"/>
          <w:rFonts w:hint="eastAsia" w:ascii="Times New Roman" w:hAnsi="Times New Roman" w:eastAsia="仿宋"/>
          <w:b w:val="0"/>
          <w:bCs w:val="0"/>
          <w:caps w:val="0"/>
          <w:color w:val="auto"/>
          <w:highlight w:val="none"/>
        </w:rPr>
        <w:t>政拨款支出决算明细表</w:t>
      </w:r>
      <w:bookmarkEnd w:id="65"/>
      <w:bookmarkEnd w:id="66"/>
      <w:bookmarkStart w:id="67" w:name="_Toc15396624"/>
    </w:p>
    <w:p>
      <w:pPr>
        <w:pStyle w:val="4"/>
        <w:rPr>
          <w:rFonts w:ascii="Times New Roman" w:hAnsi="Times New Roman" w:eastAsia="仿宋"/>
          <w:caps w:val="0"/>
          <w:color w:val="auto"/>
          <w:highlight w:val="none"/>
        </w:rPr>
      </w:pPr>
      <w:bookmarkStart w:id="68" w:name="_Toc19194"/>
      <w:r>
        <w:rPr>
          <w:rStyle w:val="23"/>
          <w:rFonts w:hint="eastAsia" w:ascii="Times New Roman" w:hAnsi="Times New Roman" w:eastAsia="仿宋"/>
          <w:b w:val="0"/>
          <w:bCs w:val="0"/>
          <w:caps w:val="0"/>
          <w:color w:val="auto"/>
          <w:highlight w:val="none"/>
        </w:rPr>
        <w:t>六、</w:t>
      </w:r>
      <w:r>
        <w:rPr>
          <w:rFonts w:hint="eastAsia" w:ascii="Times New Roman" w:hAnsi="Times New Roman" w:eastAsia="仿宋"/>
          <w:b w:val="0"/>
          <w:caps w:val="0"/>
          <w:color w:val="auto"/>
          <w:highlight w:val="none"/>
        </w:rPr>
        <w:t>一</w:t>
      </w:r>
      <w:r>
        <w:rPr>
          <w:rStyle w:val="23"/>
          <w:rFonts w:hint="eastAsia" w:ascii="Times New Roman" w:hAnsi="Times New Roman" w:eastAsia="仿宋"/>
          <w:b w:val="0"/>
          <w:bCs w:val="0"/>
          <w:caps w:val="0"/>
          <w:color w:val="auto"/>
          <w:highlight w:val="none"/>
        </w:rPr>
        <w:t>般公共预算财政拨款支出决算表</w:t>
      </w:r>
      <w:bookmarkEnd w:id="67"/>
      <w:bookmarkEnd w:id="68"/>
    </w:p>
    <w:p>
      <w:pPr>
        <w:pStyle w:val="4"/>
        <w:rPr>
          <w:rFonts w:ascii="Times New Roman" w:hAnsi="Times New Roman" w:eastAsia="仿宋"/>
          <w:caps w:val="0"/>
          <w:color w:val="auto"/>
          <w:highlight w:val="none"/>
        </w:rPr>
      </w:pPr>
      <w:bookmarkStart w:id="69" w:name="_Toc15396625"/>
      <w:bookmarkStart w:id="70" w:name="_Toc7054"/>
      <w:r>
        <w:rPr>
          <w:rStyle w:val="23"/>
          <w:rFonts w:hint="eastAsia" w:ascii="Times New Roman" w:hAnsi="Times New Roman" w:eastAsia="仿宋"/>
          <w:b w:val="0"/>
          <w:bCs w:val="0"/>
          <w:caps w:val="0"/>
          <w:color w:val="auto"/>
          <w:highlight w:val="none"/>
        </w:rPr>
        <w:t>七、</w:t>
      </w:r>
      <w:r>
        <w:rPr>
          <w:rFonts w:hint="eastAsia" w:ascii="Times New Roman" w:hAnsi="Times New Roman" w:eastAsia="仿宋"/>
          <w:b w:val="0"/>
          <w:caps w:val="0"/>
          <w:color w:val="auto"/>
          <w:highlight w:val="none"/>
        </w:rPr>
        <w:t>一</w:t>
      </w:r>
      <w:r>
        <w:rPr>
          <w:rStyle w:val="23"/>
          <w:rFonts w:hint="eastAsia" w:ascii="Times New Roman" w:hAnsi="Times New Roman" w:eastAsia="仿宋"/>
          <w:b w:val="0"/>
          <w:bCs w:val="0"/>
          <w:caps w:val="0"/>
          <w:color w:val="auto"/>
          <w:highlight w:val="none"/>
        </w:rPr>
        <w:t>般公共预算财政拨款支出决算明细表</w:t>
      </w:r>
      <w:bookmarkEnd w:id="69"/>
      <w:bookmarkEnd w:id="70"/>
    </w:p>
    <w:p>
      <w:pPr>
        <w:pStyle w:val="4"/>
        <w:rPr>
          <w:rFonts w:ascii="Times New Roman" w:hAnsi="Times New Roman" w:eastAsia="仿宋"/>
          <w:caps w:val="0"/>
          <w:color w:val="auto"/>
          <w:highlight w:val="none"/>
        </w:rPr>
      </w:pPr>
      <w:bookmarkStart w:id="71" w:name="_Toc15396626"/>
      <w:bookmarkStart w:id="72" w:name="_Toc14041"/>
      <w:r>
        <w:rPr>
          <w:rStyle w:val="23"/>
          <w:rFonts w:hint="eastAsia" w:ascii="Times New Roman" w:hAnsi="Times New Roman" w:eastAsia="仿宋"/>
          <w:b w:val="0"/>
          <w:bCs w:val="0"/>
          <w:caps w:val="0"/>
          <w:color w:val="auto"/>
          <w:highlight w:val="none"/>
        </w:rPr>
        <w:t>八、</w:t>
      </w:r>
      <w:r>
        <w:rPr>
          <w:rFonts w:hint="eastAsia" w:ascii="Times New Roman" w:hAnsi="Times New Roman" w:eastAsia="仿宋"/>
          <w:b w:val="0"/>
          <w:caps w:val="0"/>
          <w:color w:val="auto"/>
          <w:highlight w:val="none"/>
        </w:rPr>
        <w:t>一</w:t>
      </w:r>
      <w:r>
        <w:rPr>
          <w:rStyle w:val="23"/>
          <w:rFonts w:hint="eastAsia" w:ascii="Times New Roman" w:hAnsi="Times New Roman" w:eastAsia="仿宋"/>
          <w:b w:val="0"/>
          <w:bCs w:val="0"/>
          <w:caps w:val="0"/>
          <w:color w:val="auto"/>
          <w:highlight w:val="none"/>
        </w:rPr>
        <w:t>般公共预算财政拨款基本支出决算表</w:t>
      </w:r>
      <w:bookmarkEnd w:id="71"/>
      <w:bookmarkEnd w:id="72"/>
    </w:p>
    <w:p>
      <w:pPr>
        <w:pStyle w:val="4"/>
        <w:rPr>
          <w:rFonts w:ascii="Times New Roman" w:hAnsi="Times New Roman" w:eastAsia="仿宋"/>
          <w:caps w:val="0"/>
          <w:color w:val="auto"/>
          <w:highlight w:val="none"/>
        </w:rPr>
      </w:pPr>
      <w:bookmarkStart w:id="73" w:name="_Toc26706"/>
      <w:bookmarkStart w:id="74" w:name="_Toc15396627"/>
      <w:r>
        <w:rPr>
          <w:rStyle w:val="23"/>
          <w:rFonts w:hint="eastAsia" w:ascii="Times New Roman" w:hAnsi="Times New Roman" w:eastAsia="仿宋"/>
          <w:b w:val="0"/>
          <w:bCs w:val="0"/>
          <w:caps w:val="0"/>
          <w:color w:val="auto"/>
          <w:highlight w:val="none"/>
        </w:rPr>
        <w:t>九、</w:t>
      </w:r>
      <w:r>
        <w:rPr>
          <w:rFonts w:hint="eastAsia" w:ascii="Times New Roman" w:hAnsi="Times New Roman" w:eastAsia="仿宋"/>
          <w:b w:val="0"/>
          <w:caps w:val="0"/>
          <w:color w:val="auto"/>
          <w:highlight w:val="none"/>
        </w:rPr>
        <w:t>一</w:t>
      </w:r>
      <w:r>
        <w:rPr>
          <w:rStyle w:val="23"/>
          <w:rFonts w:hint="eastAsia" w:ascii="Times New Roman" w:hAnsi="Times New Roman" w:eastAsia="仿宋"/>
          <w:b w:val="0"/>
          <w:bCs w:val="0"/>
          <w:caps w:val="0"/>
          <w:color w:val="auto"/>
          <w:highlight w:val="none"/>
        </w:rPr>
        <w:t>般公共预算财政拨款项目支出决算表</w:t>
      </w:r>
      <w:bookmarkEnd w:id="73"/>
      <w:bookmarkEnd w:id="74"/>
    </w:p>
    <w:p>
      <w:pPr>
        <w:pStyle w:val="4"/>
        <w:rPr>
          <w:rFonts w:ascii="Times New Roman" w:hAnsi="Times New Roman" w:eastAsia="仿宋"/>
          <w:caps w:val="0"/>
          <w:color w:val="auto"/>
          <w:highlight w:val="none"/>
        </w:rPr>
      </w:pPr>
      <w:bookmarkStart w:id="75" w:name="_Toc15396628"/>
      <w:bookmarkStart w:id="76" w:name="_Toc2700"/>
      <w:r>
        <w:rPr>
          <w:rStyle w:val="23"/>
          <w:rFonts w:hint="eastAsia" w:ascii="Times New Roman" w:hAnsi="Times New Roman" w:eastAsia="仿宋"/>
          <w:b w:val="0"/>
          <w:bCs w:val="0"/>
          <w:caps w:val="0"/>
          <w:color w:val="auto"/>
          <w:highlight w:val="none"/>
        </w:rPr>
        <w:t>十、</w:t>
      </w:r>
      <w:bookmarkEnd w:id="75"/>
      <w:r>
        <w:rPr>
          <w:rFonts w:hint="eastAsia" w:ascii="Times New Roman" w:hAnsi="Times New Roman" w:eastAsia="仿宋"/>
          <w:b w:val="0"/>
          <w:caps w:val="0"/>
          <w:color w:val="auto"/>
          <w:highlight w:val="none"/>
        </w:rPr>
        <w:t>政</w:t>
      </w:r>
      <w:r>
        <w:rPr>
          <w:rStyle w:val="23"/>
          <w:rFonts w:hint="eastAsia" w:ascii="Times New Roman" w:hAnsi="Times New Roman" w:eastAsia="仿宋"/>
          <w:b w:val="0"/>
          <w:bCs w:val="0"/>
          <w:caps w:val="0"/>
          <w:color w:val="auto"/>
          <w:highlight w:val="none"/>
        </w:rPr>
        <w:t>府性基金预算财政拨款收入支出决算表</w:t>
      </w:r>
      <w:bookmarkEnd w:id="76"/>
    </w:p>
    <w:p>
      <w:pPr>
        <w:pStyle w:val="4"/>
        <w:rPr>
          <w:rFonts w:ascii="Times New Roman" w:hAnsi="Times New Roman" w:eastAsia="仿宋"/>
          <w:caps w:val="0"/>
          <w:color w:val="auto"/>
          <w:highlight w:val="none"/>
        </w:rPr>
      </w:pPr>
      <w:bookmarkStart w:id="77" w:name="_Toc15396629"/>
      <w:bookmarkStart w:id="78" w:name="_Toc32218"/>
      <w:r>
        <w:rPr>
          <w:rStyle w:val="23"/>
          <w:rFonts w:hint="eastAsia" w:ascii="Times New Roman" w:hAnsi="Times New Roman" w:eastAsia="仿宋"/>
          <w:b w:val="0"/>
          <w:bCs w:val="0"/>
          <w:caps w:val="0"/>
          <w:color w:val="auto"/>
          <w:highlight w:val="none"/>
        </w:rPr>
        <w:t>十一、</w:t>
      </w:r>
      <w:bookmarkEnd w:id="77"/>
      <w:r>
        <w:rPr>
          <w:rFonts w:hint="eastAsia" w:ascii="Times New Roman" w:hAnsi="Times New Roman" w:eastAsia="仿宋"/>
          <w:b w:val="0"/>
          <w:caps w:val="0"/>
          <w:color w:val="auto"/>
          <w:highlight w:val="none"/>
        </w:rPr>
        <w:t>国</w:t>
      </w:r>
      <w:r>
        <w:rPr>
          <w:rStyle w:val="23"/>
          <w:rFonts w:hint="eastAsia" w:ascii="Times New Roman" w:hAnsi="Times New Roman" w:eastAsia="仿宋"/>
          <w:b w:val="0"/>
          <w:bCs w:val="0"/>
          <w:caps w:val="0"/>
          <w:color w:val="auto"/>
          <w:highlight w:val="none"/>
        </w:rPr>
        <w:t>有资本经营预算</w:t>
      </w:r>
      <w:r>
        <w:rPr>
          <w:rStyle w:val="23"/>
          <w:rFonts w:hint="eastAsia" w:ascii="Times New Roman" w:hAnsi="Times New Roman" w:eastAsia="仿宋"/>
          <w:b w:val="0"/>
          <w:bCs w:val="0"/>
          <w:caps w:val="0"/>
          <w:color w:val="auto"/>
          <w:highlight w:val="none"/>
          <w:lang w:eastAsia="zh-CN"/>
        </w:rPr>
        <w:t>财政拨款收入</w:t>
      </w:r>
      <w:r>
        <w:rPr>
          <w:rStyle w:val="23"/>
          <w:rFonts w:hint="eastAsia" w:ascii="Times New Roman" w:hAnsi="Times New Roman" w:eastAsia="仿宋"/>
          <w:b w:val="0"/>
          <w:bCs w:val="0"/>
          <w:caps w:val="0"/>
          <w:color w:val="auto"/>
          <w:highlight w:val="none"/>
        </w:rPr>
        <w:t>支出决算表</w:t>
      </w:r>
      <w:bookmarkEnd w:id="78"/>
    </w:p>
    <w:p>
      <w:pPr>
        <w:pStyle w:val="4"/>
        <w:rPr>
          <w:rFonts w:ascii="Times New Roman" w:hAnsi="Times New Roman" w:eastAsia="仿宋"/>
          <w:caps w:val="0"/>
          <w:color w:val="auto"/>
          <w:highlight w:val="none"/>
        </w:rPr>
      </w:pPr>
      <w:bookmarkStart w:id="79" w:name="_Toc15396630"/>
      <w:bookmarkStart w:id="80" w:name="_Toc23596"/>
      <w:r>
        <w:rPr>
          <w:rStyle w:val="23"/>
          <w:rFonts w:hint="eastAsia" w:ascii="Times New Roman" w:hAnsi="Times New Roman" w:eastAsia="仿宋"/>
          <w:b w:val="0"/>
          <w:bCs w:val="0"/>
          <w:caps w:val="0"/>
          <w:color w:val="auto"/>
          <w:highlight w:val="none"/>
        </w:rPr>
        <w:t>十二、</w:t>
      </w:r>
      <w:bookmarkEnd w:id="79"/>
      <w:r>
        <w:rPr>
          <w:rStyle w:val="23"/>
          <w:rFonts w:hint="eastAsia" w:ascii="Times New Roman" w:hAnsi="Times New Roman" w:eastAsia="仿宋"/>
          <w:b w:val="0"/>
          <w:bCs w:val="0"/>
          <w:caps w:val="0"/>
          <w:color w:val="auto"/>
          <w:highlight w:val="none"/>
          <w:lang w:eastAsia="zh-CN"/>
        </w:rPr>
        <w:t>国有资本经营预算财政拨款支出决算表</w:t>
      </w:r>
      <w:bookmarkEnd w:id="80"/>
    </w:p>
    <w:p>
      <w:pPr>
        <w:pStyle w:val="4"/>
        <w:rPr>
          <w:rFonts w:hint="eastAsia" w:ascii="Times New Roman" w:hAnsi="Times New Roman" w:eastAsia="仿宋"/>
          <w:b w:val="0"/>
          <w:caps w:val="0"/>
          <w:color w:val="000000"/>
        </w:rPr>
      </w:pPr>
      <w:bookmarkStart w:id="81" w:name="_Toc15396631"/>
      <w:bookmarkStart w:id="82" w:name="_Toc1521"/>
      <w:r>
        <w:rPr>
          <w:rStyle w:val="23"/>
          <w:rFonts w:hint="eastAsia" w:ascii="Times New Roman" w:hAnsi="Times New Roman" w:eastAsia="仿宋"/>
          <w:b w:val="0"/>
          <w:bCs w:val="0"/>
          <w:caps w:val="0"/>
          <w:color w:val="auto"/>
          <w:highlight w:val="none"/>
        </w:rPr>
        <w:t>十三、</w:t>
      </w:r>
      <w:bookmarkEnd w:id="81"/>
      <w:r>
        <w:rPr>
          <w:rStyle w:val="23"/>
          <w:rFonts w:hint="eastAsia" w:ascii="Times New Roman" w:hAnsi="Times New Roman" w:eastAsia="仿宋"/>
          <w:b w:val="0"/>
          <w:bCs w:val="0"/>
          <w:caps w:val="0"/>
          <w:color w:val="auto"/>
          <w:highlight w:val="none"/>
          <w:lang w:eastAsia="zh-CN"/>
        </w:rPr>
        <w:t>财政拨款“三公”经费支出决算表</w:t>
      </w:r>
      <w:bookmarkEnd w:id="82"/>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DejaVu Math TeX Gyre"/>
    <w:panose1 w:val="02040503050406030204"/>
    <w:charset w:val="00"/>
    <w:family w:val="roman"/>
    <w:pitch w:val="default"/>
    <w:sig w:usb0="00000000" w:usb1="00000000" w:usb2="00000000" w:usb3="00000000" w:csb0="2000019F" w:csb1="00000000"/>
  </w:font>
  <w:font w:name="华文中宋">
    <w:panose1 w:val="02010600040101010101"/>
    <w:charset w:val="86"/>
    <w:family w:val="auto"/>
    <w:pitch w:val="default"/>
    <w:sig w:usb0="00000287" w:usb1="080F0000" w:usb2="00000000" w:usb3="00000000" w:csb0="0004009F" w:csb1="DFD7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
    <w:altName w:val="Times New Roman"/>
    <w:panose1 w:val="00000000000000000000"/>
    <w:charset w:val="00"/>
    <w:family w:val="auto"/>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3">
    <w:nsid w:val="6EE37162"/>
    <w:multiLevelType w:val="singleLevel"/>
    <w:tmpl w:val="6EE37162"/>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04078C"/>
    <w:rsid w:val="007B7F28"/>
    <w:rsid w:val="02F87BEF"/>
    <w:rsid w:val="06D96529"/>
    <w:rsid w:val="074B416A"/>
    <w:rsid w:val="0A672F58"/>
    <w:rsid w:val="0AB9552D"/>
    <w:rsid w:val="0B2C649E"/>
    <w:rsid w:val="0C71695B"/>
    <w:rsid w:val="10D57CAD"/>
    <w:rsid w:val="1AB102B0"/>
    <w:rsid w:val="1E0F0E19"/>
    <w:rsid w:val="1ECC6087"/>
    <w:rsid w:val="1FD04999"/>
    <w:rsid w:val="20B42052"/>
    <w:rsid w:val="20F60C21"/>
    <w:rsid w:val="23665522"/>
    <w:rsid w:val="23C70A3F"/>
    <w:rsid w:val="27B604B9"/>
    <w:rsid w:val="27D52326"/>
    <w:rsid w:val="28214D27"/>
    <w:rsid w:val="28B7429C"/>
    <w:rsid w:val="2B2930EF"/>
    <w:rsid w:val="35770255"/>
    <w:rsid w:val="37E63D55"/>
    <w:rsid w:val="3AC3658F"/>
    <w:rsid w:val="3CF94902"/>
    <w:rsid w:val="3E4169FF"/>
    <w:rsid w:val="3EE06334"/>
    <w:rsid w:val="3F9A05DB"/>
    <w:rsid w:val="41151B28"/>
    <w:rsid w:val="44E516B2"/>
    <w:rsid w:val="45614FDD"/>
    <w:rsid w:val="47BD0CAB"/>
    <w:rsid w:val="487A6A54"/>
    <w:rsid w:val="4A172EE6"/>
    <w:rsid w:val="50024141"/>
    <w:rsid w:val="56774470"/>
    <w:rsid w:val="5794150E"/>
    <w:rsid w:val="58727144"/>
    <w:rsid w:val="5B394EC5"/>
    <w:rsid w:val="5B647768"/>
    <w:rsid w:val="5BC5549E"/>
    <w:rsid w:val="5D3E75DF"/>
    <w:rsid w:val="5F0F2E75"/>
    <w:rsid w:val="624502F4"/>
    <w:rsid w:val="6504078C"/>
    <w:rsid w:val="679B281E"/>
    <w:rsid w:val="6B769DA4"/>
    <w:rsid w:val="6C29058E"/>
    <w:rsid w:val="6C9809E3"/>
    <w:rsid w:val="6DA359D1"/>
    <w:rsid w:val="6E1014A2"/>
    <w:rsid w:val="6F5C128B"/>
    <w:rsid w:val="70B14A17"/>
    <w:rsid w:val="71C44F8D"/>
    <w:rsid w:val="722717C4"/>
    <w:rsid w:val="726E3979"/>
    <w:rsid w:val="72DC412D"/>
    <w:rsid w:val="733B46DE"/>
    <w:rsid w:val="747D4DEF"/>
    <w:rsid w:val="76A650E6"/>
    <w:rsid w:val="76A95C35"/>
    <w:rsid w:val="788E4A9C"/>
    <w:rsid w:val="79B788E9"/>
    <w:rsid w:val="7D071A03"/>
    <w:rsid w:val="7F234C7E"/>
    <w:rsid w:val="7F68581B"/>
    <w:rsid w:val="7FEB6C16"/>
    <w:rsid w:val="B7DF065C"/>
    <w:rsid w:val="FEF74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3"/>
    <w:unhideWhenUsed/>
    <w:qFormat/>
    <w:uiPriority w:val="9"/>
    <w:pPr>
      <w:keepNext/>
      <w:keepLines/>
      <w:spacing w:before="260" w:after="260" w:line="416" w:lineRule="auto"/>
      <w:outlineLvl w:val="1"/>
    </w:pPr>
    <w:rPr>
      <w:rFonts w:ascii="Cambria" w:hAnsi="Cambria"/>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99"/>
    <w:pPr>
      <w:ind w:left="200" w:leftChars="200" w:hanging="200" w:hangingChars="200"/>
    </w:pPr>
    <w:rPr>
      <w:rFonts w:ascii="Calibri" w:hAnsi="Calibri"/>
    </w:rPr>
  </w:style>
  <w:style w:type="paragraph" w:styleId="5">
    <w:name w:val="index 5"/>
    <w:basedOn w:val="1"/>
    <w:next w:val="1"/>
    <w:qFormat/>
    <w:uiPriority w:val="0"/>
    <w:pPr>
      <w:ind w:left="1680"/>
    </w:pPr>
  </w:style>
  <w:style w:type="paragraph" w:styleId="6">
    <w:name w:val="Salutation"/>
    <w:basedOn w:val="1"/>
    <w:next w:val="1"/>
    <w:qFormat/>
    <w:uiPriority w:val="0"/>
  </w:style>
  <w:style w:type="paragraph" w:styleId="7">
    <w:name w:val="Body Text"/>
    <w:basedOn w:val="1"/>
    <w:qFormat/>
    <w:uiPriority w:val="99"/>
    <w:pPr>
      <w:spacing w:beforeLines="30"/>
    </w:pPr>
    <w:rPr>
      <w:rFonts w:ascii="仿宋_GB2312" w:eastAsia="仿宋_GB2312"/>
      <w:kern w:val="0"/>
      <w:sz w:val="24"/>
      <w:szCs w:val="20"/>
    </w:rPr>
  </w:style>
  <w:style w:type="paragraph" w:styleId="8">
    <w:name w:val="Body Text Indent"/>
    <w:basedOn w:val="1"/>
    <w:qFormat/>
    <w:uiPriority w:val="0"/>
    <w:pPr>
      <w:spacing w:line="560" w:lineRule="exact"/>
      <w:ind w:firstLine="640" w:firstLineChars="200"/>
    </w:pPr>
  </w:style>
  <w:style w:type="paragraph" w:styleId="9">
    <w:name w:val="Block Text"/>
    <w:basedOn w:val="1"/>
    <w:qFormat/>
    <w:uiPriority w:val="0"/>
    <w:pPr>
      <w:ind w:left="-105" w:leftChars="-50" w:right="-840" w:rightChars="-400"/>
    </w:pPr>
    <w:rPr>
      <w:rFonts w:ascii="Times New Roman" w:hAnsi="Times New Roman" w:eastAsia="华文中宋" w:cs="Times New Roman"/>
      <w:color w:val="FF0000"/>
      <w:spacing w:val="2"/>
      <w:sz w:val="96"/>
    </w:rPr>
  </w:style>
  <w:style w:type="paragraph" w:styleId="10">
    <w:name w:val="footer"/>
    <w:basedOn w:val="1"/>
    <w:qFormat/>
    <w:uiPriority w:val="99"/>
    <w:pPr>
      <w:tabs>
        <w:tab w:val="center" w:pos="4153"/>
        <w:tab w:val="right" w:pos="8306"/>
      </w:tabs>
      <w:snapToGrid w:val="0"/>
      <w:jc w:val="left"/>
    </w:pPr>
    <w:rPr>
      <w:rFonts w:ascii="Calibri" w:hAnsi="Calibri"/>
      <w:kern w:val="0"/>
      <w:sz w:val="18"/>
      <w:szCs w:val="20"/>
    </w:rPr>
  </w:style>
  <w:style w:type="paragraph" w:styleId="11">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2">
    <w:name w:val="toc 1"/>
    <w:basedOn w:val="1"/>
    <w:next w:val="1"/>
    <w:unhideWhenUsed/>
    <w:qFormat/>
    <w:uiPriority w:val="39"/>
    <w:pPr>
      <w:spacing w:before="120"/>
      <w:jc w:val="left"/>
    </w:pPr>
    <w:rPr>
      <w:rFonts w:ascii="等线" w:eastAsia="等线"/>
      <w:b/>
      <w:bCs/>
      <w:i/>
      <w:iCs/>
      <w:sz w:val="24"/>
    </w:rPr>
  </w:style>
  <w:style w:type="paragraph" w:styleId="13">
    <w:name w:val="toc 2"/>
    <w:basedOn w:val="1"/>
    <w:next w:val="1"/>
    <w:unhideWhenUsed/>
    <w:qFormat/>
    <w:uiPriority w:val="39"/>
    <w:pPr>
      <w:spacing w:before="120"/>
      <w:ind w:left="300"/>
      <w:jc w:val="left"/>
    </w:pPr>
    <w:rPr>
      <w:rFonts w:ascii="等线" w:eastAsia="等线"/>
      <w:b/>
      <w:bCs/>
      <w:sz w:val="22"/>
      <w:szCs w:val="22"/>
    </w:rPr>
  </w:style>
  <w:style w:type="paragraph" w:styleId="14">
    <w:name w:val="Body Text First Indent 2"/>
    <w:basedOn w:val="8"/>
    <w:next w:val="5"/>
    <w:qFormat/>
    <w:uiPriority w:val="0"/>
    <w:pPr>
      <w:spacing w:after="120" w:line="240" w:lineRule="auto"/>
      <w:ind w:left="420" w:leftChars="200" w:firstLine="420"/>
    </w:pPr>
  </w:style>
  <w:style w:type="character" w:styleId="17">
    <w:name w:val="Strong"/>
    <w:basedOn w:val="16"/>
    <w:qFormat/>
    <w:uiPriority w:val="99"/>
    <w:rPr>
      <w:rFonts w:cs="Times New Roman"/>
      <w:b/>
    </w:rPr>
  </w:style>
  <w:style w:type="character" w:styleId="18">
    <w:name w:val="Hyperlink"/>
    <w:unhideWhenUsed/>
    <w:qFormat/>
    <w:uiPriority w:val="99"/>
    <w:rPr>
      <w:color w:val="0000FF"/>
      <w:u w:val="single"/>
    </w:rPr>
  </w:style>
  <w:style w:type="character" w:customStyle="1" w:styleId="19">
    <w:name w:val=" Char Char6"/>
    <w:basedOn w:val="16"/>
    <w:link w:val="3"/>
    <w:qFormat/>
    <w:locked/>
    <w:uiPriority w:val="9"/>
    <w:rPr>
      <w:b/>
      <w:bCs/>
      <w:kern w:val="44"/>
      <w:sz w:val="44"/>
      <w:szCs w:val="44"/>
    </w:rPr>
  </w:style>
  <w:style w:type="character" w:customStyle="1" w:styleId="20">
    <w:name w:val=" Char Char5"/>
    <w:basedOn w:val="16"/>
    <w:link w:val="4"/>
    <w:qFormat/>
    <w:locked/>
    <w:uiPriority w:val="9"/>
    <w:rPr>
      <w:rFonts w:ascii="Cambria" w:hAnsi="Cambria"/>
      <w:b/>
      <w:bCs/>
      <w:sz w:val="32"/>
      <w:szCs w:val="32"/>
    </w:rPr>
  </w:style>
  <w:style w:type="paragraph" w:customStyle="1" w:styleId="21">
    <w:name w:val="List Paragraph"/>
    <w:basedOn w:val="1"/>
    <w:qFormat/>
    <w:uiPriority w:val="34"/>
    <w:pPr>
      <w:ind w:firstLine="420" w:firstLineChars="200"/>
    </w:p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3">
    <w:name w:val="标题 2 Char"/>
    <w:basedOn w:val="16"/>
    <w:link w:val="4"/>
    <w:qFormat/>
    <w:uiPriority w:val="9"/>
    <w:rPr>
      <w:rFonts w:asciiTheme="majorHAnsi" w:hAnsiTheme="majorHAnsi" w:eastAsiaTheme="majorEastAsia" w:cstheme="majorBidi"/>
      <w:b/>
      <w:bCs/>
      <w:kern w:val="2"/>
      <w:sz w:val="32"/>
      <w:szCs w:val="32"/>
    </w:rPr>
  </w:style>
  <w:style w:type="character" w:customStyle="1" w:styleId="24">
    <w:name w:val="font01"/>
    <w:basedOn w:val="16"/>
    <w:qFormat/>
    <w:uiPriority w:val="0"/>
    <w:rPr>
      <w:rFonts w:hint="eastAsia" w:ascii="黑体" w:hAnsi="黑体" w:eastAsia="黑体" w:cs="黑体"/>
      <w:color w:val="000000"/>
      <w:sz w:val="18"/>
      <w:szCs w:val="18"/>
      <w:u w:val="none"/>
    </w:rPr>
  </w:style>
  <w:style w:type="character" w:customStyle="1" w:styleId="25">
    <w:name w:val="font111"/>
    <w:basedOn w:val="16"/>
    <w:qFormat/>
    <w:uiPriority w:val="0"/>
    <w:rPr>
      <w:rFonts w:hint="eastAsia" w:ascii="宋体" w:hAnsi="宋体" w:eastAsia="宋体" w:cs="宋体"/>
      <w:color w:val="000000"/>
      <w:sz w:val="18"/>
      <w:szCs w:val="18"/>
      <w:u w:val="none"/>
    </w:rPr>
  </w:style>
  <w:style w:type="character" w:customStyle="1" w:styleId="26">
    <w:name w:val="font91"/>
    <w:basedOn w:val="16"/>
    <w:qFormat/>
    <w:uiPriority w:val="0"/>
    <w:rPr>
      <w:rFonts w:ascii="仿宋" w:hAnsi="仿宋" w:eastAsia="仿宋" w:cs="仿宋"/>
      <w:color w:val="000000"/>
      <w:sz w:val="18"/>
      <w:szCs w:val="18"/>
      <w:u w:val="none"/>
    </w:rPr>
  </w:style>
  <w:style w:type="character" w:customStyle="1" w:styleId="27">
    <w:name w:val="NormalCharacter"/>
    <w:semiHidden/>
    <w:qFormat/>
    <w:uiPriority w:val="0"/>
  </w:style>
  <w:style w:type="paragraph" w:customStyle="1" w:styleId="28">
    <w:name w:val="四号正文"/>
    <w:basedOn w:val="1"/>
    <w:qFormat/>
    <w:uiPriority w:val="0"/>
    <w:pPr>
      <w:widowControl/>
      <w:spacing w:line="360" w:lineRule="auto"/>
      <w:jc w:val="left"/>
    </w:pPr>
    <w:rPr>
      <w:rFonts w:ascii="??" w:hAnsi="??" w:eastAsia="宋体"/>
      <w:color w:val="000000"/>
      <w:kern w:val="0"/>
      <w:sz w:val="28"/>
      <w:szCs w:val="21"/>
    </w:rPr>
  </w:style>
  <w:style w:type="character" w:customStyle="1" w:styleId="29">
    <w:name w:val="font31"/>
    <w:basedOn w:val="16"/>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4059464233147"/>
          <c:y val="0.034389033325455"/>
          <c:w val="0.873666666666667"/>
          <c:h val="0.83412037037037"/>
        </c:manualLayout>
      </c:layout>
      <c:barChart>
        <c:barDir val="col"/>
        <c:grouping val="stacked"/>
        <c:varyColors val="0"/>
        <c:ser>
          <c:idx val="0"/>
          <c:order val="0"/>
          <c:tx>
            <c:strRef>
              <c:f>"收、支总计"</c:f>
              <c:strCache>
                <c:ptCount val="1"/>
                <c:pt idx="0">
                  <c:v>收、支总计</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[2025年决算公开柱状图、饼状图.xls]Sheet1!$A$2:$A$3</c:f>
              <c:strCache>
                <c:ptCount val="2"/>
                <c:pt idx="0">
                  <c:v>2024年</c:v>
                </c:pt>
                <c:pt idx="1">
                  <c:v>2025年</c:v>
                </c:pt>
              </c:strCache>
            </c:strRef>
          </c:cat>
          <c:val>
            <c:numRef>
              <c:f>[2025年决算公开柱状图、饼状图.xls]Sheet1!$B$2:$B$3</c:f>
              <c:numCache>
                <c:formatCode>General</c:formatCode>
                <c:ptCount val="2"/>
                <c:pt idx="0">
                  <c:v>2184.74</c:v>
                </c:pt>
                <c:pt idx="1">
                  <c:v>3361.96</c:v>
                </c:pt>
              </c:numCache>
            </c:numRef>
          </c:val>
        </c:ser>
        <c:dLbls>
          <c:showLegendKey val="0"/>
          <c:showVal val="0"/>
          <c:showCatName val="0"/>
          <c:showSerName val="0"/>
          <c:showPercent val="0"/>
          <c:showBubbleSize val="0"/>
        </c:dLbls>
        <c:gapWidth val="150"/>
        <c:overlap val="100"/>
        <c:axId val="934177946"/>
        <c:axId val="507222279"/>
      </c:barChart>
      <c:catAx>
        <c:axId val="93417794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7222279"/>
        <c:crosses val="autoZero"/>
        <c:auto val="1"/>
        <c:lblAlgn val="ctr"/>
        <c:lblOffset val="100"/>
        <c:noMultiLvlLbl val="0"/>
      </c:catAx>
      <c:valAx>
        <c:axId val="507222279"/>
        <c:scaling>
          <c:orientation val="minMax"/>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4177946"/>
        <c:crosses val="autoZero"/>
        <c:crossBetween val="between"/>
      </c:valAx>
      <c:spPr>
        <a:noFill/>
        <a:ln>
          <a:noFill/>
        </a:ln>
        <a:effectLst/>
      </c:spPr>
    </c:plotArea>
    <c:legend>
      <c:legendPos val="r"/>
      <c:layout>
        <c:manualLayout>
          <c:xMode val="edge"/>
          <c:yMode val="edge"/>
          <c:x val="0.83"/>
          <c:y val="0.464930555555556"/>
          <c:w val="0.1755"/>
          <c:h val="0.078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78324904360664"/>
                  <c:y val="-0.036525186545091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776803592166874"/>
                  <c:y val="-0.0017718290413167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[2025年决算公开柱状图、饼状图.xls]Sheet1!$A$18:$A$19</c:f>
              <c:strCache>
                <c:ptCount val="2"/>
                <c:pt idx="0">
                  <c:v>一般公共预算财政拨款收入</c:v>
                </c:pt>
                <c:pt idx="1">
                  <c:v>事业收入</c:v>
                </c:pt>
              </c:strCache>
            </c:strRef>
          </c:cat>
          <c:val>
            <c:numRef>
              <c:f>[2025年决算公开柱状图、饼状图.xls]Sheet1!$B$18:$B$19</c:f>
              <c:numCache>
                <c:formatCode>0.00%</c:formatCode>
                <c:ptCount val="2"/>
                <c:pt idx="0">
                  <c:v>0.9944</c:v>
                </c:pt>
                <c:pt idx="1">
                  <c:v>0.0056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46644977059986"/>
                  <c:y val="0.026827308570003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4879696892756"/>
                  <c:y val="-0.0081645083141199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[2025年决算公开柱状图、饼状图.xls]Sheet1!$A$36:$A$37</c:f>
              <c:strCache>
                <c:ptCount val="2"/>
                <c:pt idx="0">
                  <c:v>基本支出</c:v>
                </c:pt>
                <c:pt idx="1">
                  <c:v>项目支出</c:v>
                </c:pt>
              </c:strCache>
            </c:strRef>
          </c:cat>
          <c:val>
            <c:numRef>
              <c:f>[2025年决算公开柱状图、饼状图.xls]Sheet1!$B$36:$B$37</c:f>
              <c:numCache>
                <c:formatCode>0.00%</c:formatCode>
                <c:ptCount val="2"/>
                <c:pt idx="0">
                  <c:v>0.5533</c:v>
                </c:pt>
                <c:pt idx="1">
                  <c:v>0.4467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"财政拨款收、支总计"</c:f>
              <c:strCache>
                <c:ptCount val="1"/>
                <c:pt idx="0">
                  <c:v>财政拨款收、支总计</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[2025年决算公开柱状图、饼状图.xls]Sheet1!$A$54:$A$55</c:f>
              <c:strCache>
                <c:ptCount val="2"/>
                <c:pt idx="0">
                  <c:v>2024年</c:v>
                </c:pt>
                <c:pt idx="1">
                  <c:v>2025年</c:v>
                </c:pt>
              </c:strCache>
            </c:strRef>
          </c:cat>
          <c:val>
            <c:numRef>
              <c:f>[2025年决算公开柱状图、饼状图.xls]Sheet1!$B$54:$B$55</c:f>
              <c:numCache>
                <c:formatCode>General</c:formatCode>
                <c:ptCount val="2"/>
                <c:pt idx="0">
                  <c:v>2024.67</c:v>
                </c:pt>
                <c:pt idx="1">
                  <c:v>3343.2</c:v>
                </c:pt>
              </c:numCache>
            </c:numRef>
          </c:val>
        </c:ser>
        <c:dLbls>
          <c:showLegendKey val="0"/>
          <c:showVal val="0"/>
          <c:showCatName val="0"/>
          <c:showSerName val="0"/>
          <c:showPercent val="0"/>
          <c:showBubbleSize val="0"/>
        </c:dLbls>
        <c:gapWidth val="150"/>
        <c:overlap val="100"/>
        <c:axId val="274240295"/>
        <c:axId val="262099291"/>
      </c:barChart>
      <c:catAx>
        <c:axId val="27424029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2099291"/>
        <c:crosses val="autoZero"/>
        <c:auto val="1"/>
        <c:lblAlgn val="ctr"/>
        <c:lblOffset val="100"/>
        <c:noMultiLvlLbl val="0"/>
      </c:catAx>
      <c:valAx>
        <c:axId val="262099291"/>
        <c:scaling>
          <c:orientation val="minMax"/>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4240295"/>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"一般公共预算财政拨款支出"</c:f>
              <c:strCache>
                <c:ptCount val="1"/>
                <c:pt idx="0">
                  <c:v>一般公共预算财政拨款支出</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[2025年决算公开柱状图、饼状图.xls]Sheet1!$A$69:$A$70</c:f>
              <c:strCache>
                <c:ptCount val="2"/>
                <c:pt idx="0">
                  <c:v>2024年</c:v>
                </c:pt>
                <c:pt idx="1">
                  <c:v>2025年</c:v>
                </c:pt>
              </c:strCache>
            </c:strRef>
          </c:cat>
          <c:val>
            <c:numRef>
              <c:f>[2025年决算公开柱状图、饼状图.xls]Sheet1!$B$69:$B$70</c:f>
              <c:numCache>
                <c:formatCode>General</c:formatCode>
                <c:ptCount val="2"/>
                <c:pt idx="0">
                  <c:v>2024.67</c:v>
                </c:pt>
                <c:pt idx="1">
                  <c:v>3343.2</c:v>
                </c:pt>
              </c:numCache>
            </c:numRef>
          </c:val>
        </c:ser>
        <c:dLbls>
          <c:showLegendKey val="0"/>
          <c:showVal val="0"/>
          <c:showCatName val="0"/>
          <c:showSerName val="0"/>
          <c:showPercent val="0"/>
          <c:showBubbleSize val="0"/>
        </c:dLbls>
        <c:gapWidth val="150"/>
        <c:overlap val="100"/>
        <c:axId val="565425097"/>
        <c:axId val="597365743"/>
      </c:barChart>
      <c:catAx>
        <c:axId val="56542509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7365743"/>
        <c:crosses val="autoZero"/>
        <c:auto val="1"/>
        <c:lblAlgn val="ctr"/>
        <c:lblOffset val="100"/>
        <c:noMultiLvlLbl val="0"/>
      </c:catAx>
      <c:valAx>
        <c:axId val="597365743"/>
        <c:scaling>
          <c:orientation val="minMax"/>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42509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dPt>
          <c:dLbls>
            <c:dLbl>
              <c:idx val="0"/>
              <c:layout>
                <c:manualLayout>
                  <c:x val="0.10638780512873"/>
                  <c:y val="0.0041098920736701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33980141772067"/>
                  <c:y val="0.0049343658305397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74432904919214"/>
                  <c:y val="-0.036707417813162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24731124593219"/>
                  <c:y val="-0.0052722523116817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[2025年决算公开柱状图、饼状图.xls]Sheet1!$A$86:$A$90</c:f>
              <c:strCache>
                <c:ptCount val="5"/>
                <c:pt idx="0">
                  <c:v>教育支出</c:v>
                </c:pt>
                <c:pt idx="1">
                  <c:v>社会保障和就业支出</c:v>
                </c:pt>
                <c:pt idx="2">
                  <c:v>卫生健康支出</c:v>
                </c:pt>
                <c:pt idx="3">
                  <c:v>住房保障支出</c:v>
                </c:pt>
                <c:pt idx="4">
                  <c:v>一般公共服务支出</c:v>
                </c:pt>
              </c:strCache>
            </c:strRef>
          </c:cat>
          <c:val>
            <c:numRef>
              <c:f>[2025年决算公开柱状图、饼状图.xls]Sheet1!$B$86:$B$90</c:f>
              <c:numCache>
                <c:formatCode>0.00%</c:formatCode>
                <c:ptCount val="5"/>
                <c:pt idx="0">
                  <c:v>0.7202</c:v>
                </c:pt>
                <c:pt idx="1">
                  <c:v>0.1492</c:v>
                </c:pt>
                <c:pt idx="2">
                  <c:v>0.0286</c:v>
                </c:pt>
                <c:pt idx="3">
                  <c:v>0.0302</c:v>
                </c:pt>
                <c:pt idx="4">
                  <c:v>0.0718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Lbl>
              <c:idx val="1"/>
              <c:layout>
                <c:manualLayout>
                  <c:x val="0.0899466990664865"/>
                  <c:y val="0.03020633161528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36997831468584"/>
                  <c:y val="-0.1447896555055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[2025年决算公开柱状图、饼状图.xls]Sheet1!$A$103:$A$105</c:f>
              <c:strCache>
                <c:ptCount val="3"/>
                <c:pt idx="0">
                  <c:v>因公出国（境）费支出</c:v>
                </c:pt>
                <c:pt idx="1">
                  <c:v>公务用车购置及运行维护费支出</c:v>
                </c:pt>
                <c:pt idx="2">
                  <c:v>公务接待费支出</c:v>
                </c:pt>
              </c:strCache>
            </c:strRef>
          </c:cat>
          <c:val>
            <c:numRef>
              <c:f>[2025年决算公开柱状图、饼状图.xls]Sheet1!$B$103:$B$105</c:f>
              <c:numCache>
                <c:formatCode>General</c:formatCode>
                <c:ptCount val="3"/>
                <c:pt idx="0">
                  <c:v>0</c:v>
                </c:pt>
                <c:pt idx="1" c:formatCode="0.00%">
                  <c:v>0.6781</c:v>
                </c:pt>
                <c:pt idx="2" c:formatCode="0.00%">
                  <c:v>0.3219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19276</Words>
  <Characters>21285</Characters>
  <Lines>0</Lines>
  <Paragraphs>0</Paragraphs>
  <TotalTime>7</TotalTime>
  <ScaleCrop>false</ScaleCrop>
  <LinksUpToDate>false</LinksUpToDate>
  <CharactersWithSpaces>21351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2021-09-10T03:29:00Z</dcterms:created>
  <dc:creator>Administrator</dc:creator>
  <cp:lastModifiedBy>Administrator</cp:lastModifiedBy>
  <cp:lastPrinted>2026-09-09T03:00:00Z</cp:lastPrinted>
  <dcterms:modified xsi:type="dcterms:W3CDTF">2026-09-15T07:28:45Z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9F5FFC20336A4CF2BA8FAA30BF27D932</vt:lpwstr>
  </property>
</Properties>
</file>