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80" w:lineRule="exact"/>
        <w:jc w:val="center"/>
        <w:rPr>
          <w:rFonts w:hint="eastAsia" w:ascii="Times New Roman" w:hAnsi="Times New Roman" w:eastAsia="方正小标宋简体"/>
          <w:caps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caps w:val="0"/>
          <w:color w:val="000000" w:themeColor="text1"/>
          <w:sz w:val="44"/>
          <w:szCs w:val="44"/>
          <w:lang w:val="en-US" w:eastAsia="zh-CN"/>
          <w14:textFill>
            <w14:solidFill>
              <w14:schemeClr w14:val="tx1"/>
            </w14:solidFill>
          </w14:textFill>
        </w:rPr>
        <w:t>中国共产党自贡市委员会党校</w:t>
      </w:r>
    </w:p>
    <w:p>
      <w:pPr>
        <w:widowControl/>
        <w:spacing w:line="580" w:lineRule="exact"/>
        <w:jc w:val="center"/>
        <w:rPr>
          <w:rFonts w:ascii="Times New Roman" w:hAnsi="Times New Roman" w:eastAsia="方正小标宋简体"/>
          <w:caps w:val="0"/>
          <w:color w:val="000000" w:themeColor="text1"/>
          <w:sz w:val="44"/>
          <w:szCs w:val="44"/>
          <w14:textFill>
            <w14:solidFill>
              <w14:schemeClr w14:val="tx1"/>
            </w14:solidFill>
          </w14:textFill>
        </w:rPr>
      </w:pPr>
      <w:r>
        <w:rPr>
          <w:rFonts w:hint="eastAsia" w:ascii="Times New Roman" w:hAnsi="Times New Roman" w:eastAsia="方正小标宋简体"/>
          <w:caps w:val="0"/>
          <w:color w:val="000000" w:themeColor="text1"/>
          <w:sz w:val="44"/>
          <w:szCs w:val="44"/>
          <w:lang w:val="en-US" w:eastAsia="zh-CN"/>
          <w14:textFill>
            <w14:solidFill>
              <w14:schemeClr w14:val="tx1"/>
            </w14:solidFill>
          </w14:textFill>
        </w:rPr>
        <w:t>202</w:t>
      </w:r>
      <w:r>
        <w:rPr>
          <w:rFonts w:hint="eastAsia" w:eastAsia="方正小标宋简体"/>
          <w:caps w:val="0"/>
          <w:color w:val="000000" w:themeColor="text1"/>
          <w:sz w:val="44"/>
          <w:szCs w:val="44"/>
          <w:lang w:val="en-US" w:eastAsia="zh-CN"/>
          <w14:textFill>
            <w14:solidFill>
              <w14:schemeClr w14:val="tx1"/>
            </w14:solidFill>
          </w14:textFill>
        </w:rPr>
        <w:t>5</w:t>
      </w:r>
      <w:r>
        <w:rPr>
          <w:rFonts w:hint="eastAsia" w:ascii="Times New Roman" w:hAnsi="Times New Roman" w:eastAsia="方正小标宋简体"/>
          <w:caps w:val="0"/>
          <w:color w:val="000000" w:themeColor="text1"/>
          <w:sz w:val="44"/>
          <w:szCs w:val="44"/>
          <w:lang w:val="en-US" w:eastAsia="zh-CN"/>
          <w14:textFill>
            <w14:solidFill>
              <w14:schemeClr w14:val="tx1"/>
            </w14:solidFill>
          </w14:textFill>
        </w:rPr>
        <w:t>年</w:t>
      </w:r>
      <w:r>
        <w:rPr>
          <w:rFonts w:hint="eastAsia" w:ascii="Times New Roman" w:hAnsi="Times New Roman" w:eastAsia="方正小标宋简体"/>
          <w:caps w:val="0"/>
          <w:color w:val="000000" w:themeColor="text1"/>
          <w:sz w:val="44"/>
          <w:szCs w:val="44"/>
          <w14:textFill>
            <w14:solidFill>
              <w14:schemeClr w14:val="tx1"/>
            </w14:solidFill>
          </w14:textFill>
        </w:rPr>
        <w:t>度部门决算编制的说明</w:t>
      </w:r>
    </w:p>
    <w:p>
      <w:pPr>
        <w:widowControl/>
        <w:jc w:val="center"/>
        <w:rPr>
          <w:rFonts w:hint="eastAsia" w:ascii="Times New Roman" w:hAnsi="Times New Roman" w:eastAsia="黑体"/>
          <w:caps w:val="0"/>
          <w:color w:val="000000" w:themeColor="text1"/>
          <w:sz w:val="44"/>
          <w:szCs w:val="44"/>
          <w14:textFill>
            <w14:solidFill>
              <w14:schemeClr w14:val="tx1"/>
            </w14:solidFill>
          </w14:textFill>
        </w:rPr>
      </w:pPr>
    </w:p>
    <w:p>
      <w:pPr>
        <w:widowControl/>
        <w:jc w:val="center"/>
        <w:rPr>
          <w:rFonts w:ascii="Times New Roman" w:hAnsi="Times New Roman" w:eastAsia="黑体"/>
          <w:caps w:val="0"/>
          <w:color w:val="000000" w:themeColor="text1"/>
          <w:sz w:val="48"/>
          <w:szCs w:val="48"/>
          <w14:textFill>
            <w14:solidFill>
              <w14:schemeClr w14:val="tx1"/>
            </w14:solidFill>
          </w14:textFill>
        </w:rPr>
      </w:pPr>
      <w:r>
        <w:rPr>
          <w:rFonts w:hint="eastAsia" w:ascii="Times New Roman" w:hAnsi="Times New Roman" w:eastAsia="黑体"/>
          <w:caps w:val="0"/>
          <w:color w:val="000000" w:themeColor="text1"/>
          <w:sz w:val="44"/>
          <w:szCs w:val="44"/>
          <w14:textFill>
            <w14:solidFill>
              <w14:schemeClr w14:val="tx1"/>
            </w14:solidFill>
          </w14:textFill>
        </w:rPr>
        <w:t>目</w:t>
      </w:r>
      <w:r>
        <w:rPr>
          <w:rFonts w:hint="eastAsia" w:ascii="Times New Roman" w:hAnsi="Times New Roman" w:eastAsia="黑体"/>
          <w:caps w:val="0"/>
          <w:color w:val="000000" w:themeColor="text1"/>
          <w:sz w:val="44"/>
          <w:szCs w:val="44"/>
          <w:lang w:val="en-US" w:eastAsia="zh-CN"/>
          <w14:textFill>
            <w14:solidFill>
              <w14:schemeClr w14:val="tx1"/>
            </w14:solidFill>
          </w14:textFill>
        </w:rPr>
        <w:t xml:space="preserve"> </w:t>
      </w:r>
      <w:r>
        <w:rPr>
          <w:rFonts w:hint="eastAsia" w:ascii="Times New Roman" w:hAnsi="Times New Roman" w:eastAsia="黑体"/>
          <w:caps w:val="0"/>
          <w:color w:val="000000" w:themeColor="text1"/>
          <w:sz w:val="44"/>
          <w:szCs w:val="44"/>
          <w14:textFill>
            <w14:solidFill>
              <w14:schemeClr w14:val="tx1"/>
            </w14:solidFill>
          </w14:textFill>
        </w:rPr>
        <w:t>录</w:t>
      </w:r>
    </w:p>
    <w:p>
      <w:pPr>
        <w:pStyle w:val="14"/>
        <w:spacing w:line="500" w:lineRule="exact"/>
        <w:jc w:val="center"/>
        <w:rPr>
          <w:rFonts w:hint="eastAsia" w:ascii="Times New Roman" w:hAnsi="Times New Roman" w:eastAsia="仿宋_GB2312"/>
          <w:i w:val="0"/>
          <w:caps w:val="0"/>
          <w:color w:val="000000" w:themeColor="text1"/>
          <w:sz w:val="32"/>
          <w:lang w:eastAsia="zh-CN"/>
          <w14:textFill>
            <w14:solidFill>
              <w14:schemeClr w14:val="tx1"/>
            </w14:solidFill>
          </w14:textFill>
        </w:rPr>
      </w:pPr>
      <w:r>
        <w:rPr>
          <w:rFonts w:hint="eastAsia" w:ascii="Times New Roman" w:hAnsi="Times New Roman" w:eastAsia="仿宋_GB2312"/>
          <w:i w:val="0"/>
          <w:caps w:val="0"/>
          <w:color w:val="000000" w:themeColor="text1"/>
          <w:sz w:val="32"/>
          <w14:textFill>
            <w14:solidFill>
              <w14:schemeClr w14:val="tx1"/>
            </w14:solidFill>
          </w14:textFill>
        </w:rPr>
        <w:t>公开时间：202</w:t>
      </w:r>
      <w:r>
        <w:rPr>
          <w:rFonts w:hint="eastAsia" w:ascii="Times New Roman" w:eastAsia="仿宋_GB2312"/>
          <w:i w:val="0"/>
          <w:caps w:val="0"/>
          <w:color w:val="000000" w:themeColor="text1"/>
          <w:sz w:val="32"/>
          <w:lang w:val="en-US" w:eastAsia="zh-CN"/>
          <w14:textFill>
            <w14:solidFill>
              <w14:schemeClr w14:val="tx1"/>
            </w14:solidFill>
          </w14:textFill>
        </w:rPr>
        <w:t>6</w:t>
      </w:r>
      <w:r>
        <w:rPr>
          <w:rFonts w:hint="eastAsia" w:ascii="Times New Roman" w:hAnsi="Times New Roman" w:eastAsia="仿宋_GB2312"/>
          <w:i w:val="0"/>
          <w:caps w:val="0"/>
          <w:color w:val="000000" w:themeColor="text1"/>
          <w:sz w:val="32"/>
          <w14:textFill>
            <w14:solidFill>
              <w14:schemeClr w14:val="tx1"/>
            </w14:solidFill>
          </w14:textFill>
        </w:rPr>
        <w:t>年9月</w:t>
      </w:r>
      <w:r>
        <w:rPr>
          <w:rFonts w:hint="eastAsia" w:ascii="Times New Roman" w:eastAsia="仿宋_GB2312"/>
          <w:i w:val="0"/>
          <w:caps w:val="0"/>
          <w:color w:val="000000" w:themeColor="text1"/>
          <w:sz w:val="32"/>
          <w:lang w:val="en-US" w:eastAsia="zh-CN"/>
          <w14:textFill>
            <w14:solidFill>
              <w14:schemeClr w14:val="tx1"/>
            </w14:solidFill>
          </w14:textFill>
        </w:rPr>
        <w:t>24</w:t>
      </w:r>
      <w:r>
        <w:rPr>
          <w:rFonts w:hint="eastAsia" w:ascii="Times New Roman" w:hAnsi="Times New Roman" w:eastAsia="仿宋_GB2312"/>
          <w:i w:val="0"/>
          <w:caps w:val="0"/>
          <w:color w:val="000000" w:themeColor="text1"/>
          <w:sz w:val="32"/>
          <w14:textFill>
            <w14:solidFill>
              <w14:schemeClr w14:val="tx1"/>
            </w14:solidFill>
          </w14:textFill>
        </w:rPr>
        <w:t>日</w:t>
      </w:r>
    </w:p>
    <w:p>
      <w:pPr>
        <w:pStyle w:val="14"/>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TOC \o "1-2" \h \z \u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_Toc8227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第一部分 部门概况</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PAGEREF _Toc8227 \h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3</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_Toc28837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一、</w:t>
      </w:r>
      <w:r>
        <w:rPr>
          <w:rFonts w:hint="eastAsia" w:ascii="Times New Roman" w:hAnsi="Times New Roman" w:eastAsia="仿宋_GB2312" w:cs="仿宋_GB2312"/>
          <w:b w:val="0"/>
          <w:bCs w:val="0"/>
          <w:i w:val="0"/>
          <w:iCs w:val="0"/>
          <w:caps w:val="0"/>
          <w:color w:val="000000" w:themeColor="text1"/>
          <w:sz w:val="32"/>
          <w:szCs w:val="32"/>
          <w:highlight w:val="none"/>
          <w:lang w:eastAsia="zh-CN"/>
          <w14:textFill>
            <w14:solidFill>
              <w14:schemeClr w14:val="tx1"/>
            </w14:solidFill>
          </w14:textFill>
        </w:rPr>
        <w:t>部门职责</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PAGEREF _Toc28837 \h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3</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_Toc17184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二、机构设置</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PAGEREF _Toc17184 \h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3</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4"/>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_Toc1303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 xml:space="preserve">第二部分 </w:t>
      </w:r>
      <w:r>
        <w:rPr>
          <w:rFonts w:hint="eastAsia" w:ascii="Times New Roman" w:hAnsi="Times New Roman" w:eastAsia="仿宋_GB2312" w:cs="仿宋_GB2312"/>
          <w:b w:val="0"/>
          <w:bCs w:val="0"/>
          <w:i w:val="0"/>
          <w:iCs w:val="0"/>
          <w:caps w:val="0"/>
          <w:color w:val="000000" w:themeColor="text1"/>
          <w:sz w:val="32"/>
          <w:szCs w:val="32"/>
          <w:lang w:eastAsia="zh-CN"/>
          <w14:textFill>
            <w14:solidFill>
              <w14:schemeClr w14:val="tx1"/>
            </w14:solidFill>
          </w14:textFill>
        </w:rPr>
        <w:t>202</w:t>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5</w:t>
      </w:r>
      <w:r>
        <w:rPr>
          <w:rFonts w:hint="eastAsia" w:ascii="Times New Roman" w:hAnsi="Times New Roman" w:eastAsia="仿宋_GB2312" w:cs="仿宋_GB2312"/>
          <w:b w:val="0"/>
          <w:bCs w:val="0"/>
          <w:i w:val="0"/>
          <w:iCs w:val="0"/>
          <w:caps w:val="0"/>
          <w:color w:val="000000" w:themeColor="text1"/>
          <w:sz w:val="32"/>
          <w:szCs w:val="32"/>
          <w:lang w:eastAsia="zh-CN"/>
          <w14:textFill>
            <w14:solidFill>
              <w14:schemeClr w14:val="tx1"/>
            </w14:solidFill>
          </w14:textFill>
        </w:rPr>
        <w:t>年</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度部门决算情况说明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5</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_Toc17065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一、收入支出决算总体情况说明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5</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_Toc12413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二、收入决算情况说明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5</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_Toc8342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三、支出决算情况说明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_Toc23551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四、财政拨款收入支出决算总体情况说明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_Toc7507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五、一般公共预算财政拨款支出决算情况说明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7</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_Toc31388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六、一般公共预算财政拨款基本支出决算情况说明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0</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_Toc19233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七、</w:t>
      </w:r>
      <w:r>
        <w:rPr>
          <w:rFonts w:hint="eastAsia" w:ascii="Times New Roman" w:eastAsia="仿宋_GB2312" w:cs="仿宋_GB2312"/>
          <w:b w:val="0"/>
          <w:bCs w:val="0"/>
          <w:i w:val="0"/>
          <w:iCs w:val="0"/>
          <w:caps w:val="0"/>
          <w:color w:val="000000" w:themeColor="text1"/>
          <w:sz w:val="32"/>
          <w:szCs w:val="32"/>
          <w:lang w:eastAsia="zh-CN"/>
          <w14:textFill>
            <w14:solidFill>
              <w14:schemeClr w14:val="tx1"/>
            </w14:solidFill>
          </w14:textFill>
        </w:rPr>
        <w:t>财政拨款</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“三公”经费支出决算情况说明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0</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_Toc31714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八、政府性基金预算支出决算情况说明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2</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_Toc12385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九、国有资本经营预算支出决算情况说明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2</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_Toc30095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十、其他重要事项的情况说明</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4"/>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_Toc6447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第三部分 名词解释</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7</w:t>
      </w:r>
    </w:p>
    <w:p>
      <w:pPr>
        <w:pStyle w:val="14"/>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_Toc17220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第四部分 附件</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9</w:t>
      </w:r>
    </w:p>
    <w:p>
      <w:pPr>
        <w:pStyle w:val="14"/>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_Toc31444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第五部分 附表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default"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_Toc5286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一、收入支出决算总表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_Toc8158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二、收入决算表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_Toc26012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三、支出决算表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_Toc18909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四、财政拨款收入支出决算总表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_Toc31130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五、财政拨款支出决算明细表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_Toc7698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六、一般公共预算财政拨款支出决算表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_Toc31249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七、一般公共预算财政拨款支出决算明细表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_Toc7317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八、一般公共预算财政拨款基本支出决算</w:t>
      </w:r>
      <w:r>
        <w:rPr>
          <w:rFonts w:hint="eastAsia" w:ascii="Times New Roman" w:eastAsia="仿宋_GB2312" w:cs="仿宋_GB2312"/>
          <w:b w:val="0"/>
          <w:bCs w:val="0"/>
          <w:i w:val="0"/>
          <w:iCs w:val="0"/>
          <w:caps w:val="0"/>
          <w:color w:val="000000" w:themeColor="text1"/>
          <w:sz w:val="32"/>
          <w:szCs w:val="32"/>
          <w:highlight w:val="none"/>
          <w:lang w:eastAsia="zh-CN"/>
          <w14:textFill>
            <w14:solidFill>
              <w14:schemeClr w14:val="tx1"/>
            </w14:solidFill>
          </w14:textFill>
        </w:rPr>
        <w:t>明细</w:t>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_Toc6515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九、一般公共预算财政拨款项目支出决算表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_Toc7620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十、政府性基金预算财政拨款收入支出决算表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_Toc26497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十一、国有资本经营预算</w:t>
      </w:r>
      <w:r>
        <w:rPr>
          <w:rFonts w:hint="eastAsia" w:ascii="Times New Roman" w:hAnsi="Times New Roman" w:eastAsia="仿宋_GB2312" w:cs="仿宋_GB2312"/>
          <w:b w:val="0"/>
          <w:bCs w:val="0"/>
          <w:i w:val="0"/>
          <w:iCs w:val="0"/>
          <w:caps w:val="0"/>
          <w:color w:val="000000" w:themeColor="text1"/>
          <w:sz w:val="32"/>
          <w:szCs w:val="32"/>
          <w:highlight w:val="none"/>
          <w:lang w:eastAsia="zh-CN"/>
          <w14:textFill>
            <w14:solidFill>
              <w14:schemeClr w14:val="tx1"/>
            </w14:solidFill>
          </w14:textFill>
        </w:rPr>
        <w:t>财政拨款收入</w:t>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_Toc28654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十二、</w:t>
      </w:r>
      <w:r>
        <w:rPr>
          <w:rFonts w:hint="eastAsia" w:ascii="Times New Roman" w:hAnsi="Times New Roman" w:eastAsia="仿宋_GB2312" w:cs="仿宋_GB2312"/>
          <w:b w:val="0"/>
          <w:bCs w:val="0"/>
          <w:i w:val="0"/>
          <w:iCs w:val="0"/>
          <w:caps w:val="0"/>
          <w:color w:val="000000" w:themeColor="text1"/>
          <w:sz w:val="32"/>
          <w:szCs w:val="32"/>
          <w:highlight w:val="none"/>
          <w:lang w:eastAsia="zh-CN"/>
          <w14:textFill>
            <w14:solidFill>
              <w14:schemeClr w14:val="tx1"/>
            </w14:solidFill>
          </w14:textFill>
        </w:rPr>
        <w:t>国有资本经营预算财政拨款支出决算表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pStyle w:val="16"/>
        <w:tabs>
          <w:tab w:val="right" w:leader="dot" w:pos="8306"/>
        </w:tabs>
        <w:rPr>
          <w:rFonts w:hint="eastAsia" w:ascii="Times New Roman" w:hAnsi="Times New Roman" w:eastAsia="仿宋_GB2312" w:cs="仿宋_GB2312"/>
          <w:b w:val="0"/>
          <w:bCs w:val="0"/>
          <w:i w:val="0"/>
          <w:iCs w:val="0"/>
          <w:caps w:val="0"/>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instrText xml:space="preserve"> HYPERLINK \l _Toc10409 </w:instrTex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separate"/>
      </w:r>
      <w:r>
        <w:rPr>
          <w:rFonts w:hint="eastAsia" w:ascii="Times New Roman" w:hAnsi="Times New Roman" w:eastAsia="仿宋_GB2312" w:cs="仿宋_GB2312"/>
          <w:b w:val="0"/>
          <w:bCs w:val="0"/>
          <w:i w:val="0"/>
          <w:iCs w:val="0"/>
          <w:caps w:val="0"/>
          <w:color w:val="000000" w:themeColor="text1"/>
          <w:sz w:val="32"/>
          <w:szCs w:val="32"/>
          <w:highlight w:val="none"/>
          <w14:textFill>
            <w14:solidFill>
              <w14:schemeClr w14:val="tx1"/>
            </w14:solidFill>
          </w14:textFill>
        </w:rPr>
        <w:t>十三、</w:t>
      </w:r>
      <w:r>
        <w:rPr>
          <w:rFonts w:hint="eastAsia" w:ascii="Times New Roman" w:hAnsi="Times New Roman" w:eastAsia="仿宋_GB2312" w:cs="仿宋_GB2312"/>
          <w:b w:val="0"/>
          <w:bCs w:val="0"/>
          <w:i w:val="0"/>
          <w:iCs w:val="0"/>
          <w:caps w:val="0"/>
          <w:color w:val="000000" w:themeColor="text1"/>
          <w:sz w:val="32"/>
          <w:szCs w:val="32"/>
          <w:highlight w:val="none"/>
          <w:lang w:eastAsia="zh-CN"/>
          <w14:textFill>
            <w14:solidFill>
              <w14:schemeClr w14:val="tx1"/>
            </w14:solidFill>
          </w14:textFill>
        </w:rPr>
        <w:t>财政拨款“三公”经费支出决算表</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tab/>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r>
        <w:rPr>
          <w:rFonts w:hint="eastAsia" w:ascii="Times New Roman" w:eastAsia="仿宋_GB2312" w:cs="仿宋_GB2312"/>
          <w:b w:val="0"/>
          <w:bCs w:val="0"/>
          <w:i w:val="0"/>
          <w:iCs w:val="0"/>
          <w:caps w:val="0"/>
          <w:color w:val="000000" w:themeColor="text1"/>
          <w:sz w:val="32"/>
          <w:szCs w:val="32"/>
          <w:lang w:val="en-US" w:eastAsia="zh-CN"/>
          <w14:textFill>
            <w14:solidFill>
              <w14:schemeClr w14:val="tx1"/>
            </w14:solidFill>
          </w14:textFill>
        </w:rPr>
        <w:t>3</w:t>
      </w:r>
    </w:p>
    <w:p>
      <w:pPr>
        <w:keepNext w:val="0"/>
        <w:keepLines w:val="0"/>
        <w:pageBreakBefore w:val="0"/>
        <w:widowControl w:val="0"/>
        <w:kinsoku/>
        <w:wordWrap/>
        <w:overflowPunct/>
        <w:topLinePunct w:val="0"/>
        <w:autoSpaceDE/>
        <w:autoSpaceDN/>
        <w:bidi w:val="0"/>
        <w:adjustRightInd/>
        <w:snapToGrid/>
        <w:spacing w:line="560" w:lineRule="exact"/>
        <w:ind w:firstLine="2400" w:firstLineChars="750"/>
        <w:textAlignment w:val="auto"/>
        <w:rPr>
          <w:rFonts w:hint="eastAsia" w:ascii="Times New Roman" w:hAnsi="Times New Roman"/>
          <w:b/>
          <w:bCs/>
          <w:caps w:val="0"/>
          <w:color w:val="000000" w:themeColor="text1"/>
          <w:szCs w:val="32"/>
          <w14:textFill>
            <w14:solidFill>
              <w14:schemeClr w14:val="tx1"/>
            </w14:solidFill>
          </w14:textFill>
        </w:rPr>
      </w:pPr>
      <w:r>
        <w:rPr>
          <w:rFonts w:hint="eastAsia" w:ascii="Times New Roman" w:hAnsi="Times New Roman" w:eastAsia="仿宋_GB2312" w:cs="仿宋_GB2312"/>
          <w:b w:val="0"/>
          <w:bCs w:val="0"/>
          <w:i w:val="0"/>
          <w:iCs w:val="0"/>
          <w:caps w:val="0"/>
          <w:color w:val="000000" w:themeColor="text1"/>
          <w:sz w:val="32"/>
          <w:szCs w:val="32"/>
          <w14:textFill>
            <w14:solidFill>
              <w14:schemeClr w14:val="tx1"/>
            </w14:solidFill>
          </w14:textFill>
        </w:rPr>
        <w:fldChar w:fldCharType="end"/>
      </w:r>
    </w:p>
    <w:p>
      <w:pPr>
        <w:pStyle w:val="3"/>
        <w:jc w:val="center"/>
        <w:rPr>
          <w:rFonts w:hint="eastAsia" w:ascii="Times New Roman" w:hAnsi="Times New Roman" w:eastAsia="黑体"/>
          <w:b w:val="0"/>
          <w:caps w:val="0"/>
          <w:color w:val="000000" w:themeColor="text1"/>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pPr>
        <w:pStyle w:val="3"/>
        <w:jc w:val="center"/>
        <w:rPr>
          <w:rStyle w:val="23"/>
          <w:rFonts w:ascii="Times New Roman" w:hAnsi="Times New Roman" w:eastAsia="黑体"/>
          <w:b/>
          <w:bCs w:val="0"/>
          <w:caps w:val="0"/>
          <w:color w:val="000000" w:themeColor="text1"/>
          <w14:textFill>
            <w14:solidFill>
              <w14:schemeClr w14:val="tx1"/>
            </w14:solidFill>
          </w14:textFill>
        </w:rPr>
      </w:pPr>
      <w:bookmarkStart w:id="0" w:name="_Toc8227"/>
      <w:r>
        <w:rPr>
          <w:rFonts w:hint="eastAsia" w:ascii="Times New Roman" w:hAnsi="Times New Roman" w:eastAsia="黑体"/>
          <w:b w:val="0"/>
          <w:caps w:val="0"/>
          <w:color w:val="000000" w:themeColor="text1"/>
          <w14:textFill>
            <w14:solidFill>
              <w14:schemeClr w14:val="tx1"/>
            </w14:solidFill>
          </w14:textFill>
        </w:rPr>
        <w:t>第一部分</w:t>
      </w:r>
      <w:r>
        <w:rPr>
          <w:rFonts w:ascii="Times New Roman" w:hAnsi="Times New Roman" w:eastAsia="黑体"/>
          <w:b w:val="0"/>
          <w:caps w:val="0"/>
          <w:color w:val="000000" w:themeColor="text1"/>
          <w14:textFill>
            <w14:solidFill>
              <w14:schemeClr w14:val="tx1"/>
            </w14:solidFill>
          </w14:textFill>
        </w:rPr>
        <w:t xml:space="preserve"> </w:t>
      </w:r>
      <w:r>
        <w:rPr>
          <w:rStyle w:val="23"/>
          <w:rFonts w:hint="eastAsia" w:ascii="Times New Roman" w:hAnsi="Times New Roman" w:eastAsia="黑体"/>
          <w:b w:val="0"/>
          <w:bCs w:val="0"/>
          <w:caps w:val="0"/>
          <w:color w:val="000000" w:themeColor="text1"/>
          <w14:textFill>
            <w14:solidFill>
              <w14:schemeClr w14:val="tx1"/>
            </w14:solidFill>
          </w14:textFill>
        </w:rPr>
        <w:t>部门概况</w:t>
      </w:r>
      <w:bookmarkEnd w:id="0"/>
    </w:p>
    <w:p>
      <w:pPr>
        <w:pStyle w:val="4"/>
        <w:ind w:firstLine="640" w:firstLineChars="200"/>
        <w:rPr>
          <w:rStyle w:val="24"/>
          <w:rFonts w:ascii="Times New Roman" w:hAnsi="Times New Roman" w:eastAsia="仿宋"/>
          <w:b w:val="0"/>
          <w:bCs w:val="0"/>
          <w:caps w:val="0"/>
          <w:color w:val="000000" w:themeColor="text1"/>
          <w14:textFill>
            <w14:solidFill>
              <w14:schemeClr w14:val="tx1"/>
            </w14:solidFill>
          </w14:textFill>
        </w:rPr>
      </w:pPr>
      <w:bookmarkStart w:id="1" w:name="_Toc15377197"/>
      <w:bookmarkStart w:id="2" w:name="_Toc15396600"/>
      <w:bookmarkStart w:id="3" w:name="_Toc28837"/>
      <w:r>
        <w:rPr>
          <w:rFonts w:hint="eastAsia" w:ascii="Times New Roman" w:hAnsi="Times New Roman" w:eastAsia="黑体"/>
          <w:b w:val="0"/>
          <w:caps w:val="0"/>
          <w:color w:val="000000" w:themeColor="text1"/>
          <w14:textFill>
            <w14:solidFill>
              <w14:schemeClr w14:val="tx1"/>
            </w14:solidFill>
          </w14:textFill>
        </w:rPr>
        <w:t>一、</w:t>
      </w:r>
      <w:bookmarkEnd w:id="1"/>
      <w:bookmarkEnd w:id="2"/>
      <w:r>
        <w:rPr>
          <w:rFonts w:hint="eastAsia" w:ascii="Times New Roman" w:hAnsi="Times New Roman" w:eastAsia="黑体"/>
          <w:b w:val="0"/>
          <w:caps w:val="0"/>
          <w:color w:val="000000" w:themeColor="text1"/>
          <w:highlight w:val="none"/>
          <w:lang w:eastAsia="zh-CN"/>
          <w14:textFill>
            <w14:solidFill>
              <w14:schemeClr w14:val="tx1"/>
            </w14:solidFill>
          </w14:textFill>
        </w:rPr>
        <w:t>部门职责</w:t>
      </w:r>
      <w:bookmarkEnd w:id="3"/>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bookmarkStart w:id="4" w:name="_Toc15377200"/>
      <w:bookmarkStart w:id="5" w:name="_Toc17184"/>
      <w:bookmarkStart w:id="6" w:name="_Toc15396601"/>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14:textFill>
            <w14:solidFill>
              <w14:schemeClr w14:val="tx1"/>
            </w14:solidFill>
          </w14:textFill>
        </w:rPr>
        <w:t>一</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培训各级党政领导干部、公务员、国有企业领导人员、事业单位领导人员、年轻干部、理论宣传骨干、高层次人才、基层干部、党员，开展党校系统师资培训</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14:textFill>
            <w14:solidFill>
              <w14:schemeClr w14:val="tx1"/>
            </w14:solidFill>
          </w14:textFill>
        </w:rPr>
        <w:t>二</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加强马克思主义基本理论研究，重点研究宣传习近平新时代中国特色社会主义思想</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14:textFill>
            <w14:solidFill>
              <w14:schemeClr w14:val="tx1"/>
            </w14:solidFill>
          </w14:textFill>
        </w:rPr>
        <w:t>三</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承办</w:t>
      </w:r>
      <w:r>
        <w:rPr>
          <w:rFonts w:hint="eastAsia" w:ascii="Times New Roman" w:hAnsi="Times New Roman" w:eastAsia="仿宋_GB2312"/>
          <w:caps w:val="0"/>
          <w:color w:val="000000" w:themeColor="text1"/>
          <w:sz w:val="32"/>
          <w:szCs w:val="32"/>
          <w14:textFill>
            <w14:solidFill>
              <w14:schemeClr w14:val="tx1"/>
            </w14:solidFill>
          </w14:textFill>
        </w:rPr>
        <w:t>市委、市政府</w:t>
      </w:r>
      <w:r>
        <w:rPr>
          <w:rFonts w:hint="eastAsia" w:ascii="Times New Roman" w:hAnsi="Times New Roman" w:eastAsia="仿宋_GB2312"/>
          <w:caps w:val="0"/>
          <w:color w:val="000000" w:themeColor="text1"/>
          <w:sz w:val="32"/>
          <w:szCs w:val="32"/>
          <w:lang w:eastAsia="zh-CN"/>
          <w14:textFill>
            <w14:solidFill>
              <w14:schemeClr w14:val="tx1"/>
            </w14:solidFill>
          </w14:textFill>
        </w:rPr>
        <w:t>以及相关部门举办的专题</w:t>
      </w:r>
      <w:r>
        <w:rPr>
          <w:rFonts w:hint="eastAsia" w:ascii="Times New Roman" w:hAnsi="Times New Roman" w:eastAsia="仿宋_GB2312"/>
          <w:caps w:val="0"/>
          <w:color w:val="000000" w:themeColor="text1"/>
          <w:sz w:val="32"/>
          <w:szCs w:val="32"/>
          <w14:textFill>
            <w14:solidFill>
              <w14:schemeClr w14:val="tx1"/>
            </w14:solidFill>
          </w14:textFill>
        </w:rPr>
        <w:t>研讨班</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14:textFill>
            <w14:solidFill>
              <w14:schemeClr w14:val="tx1"/>
            </w14:solidFill>
          </w14:textFill>
        </w:rPr>
        <w:t>四</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开展重大理论和现实问题研究，承担市委、市政府决策咨询服务</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14:textFill>
            <w14:solidFill>
              <w14:schemeClr w14:val="tx1"/>
            </w14:solidFill>
          </w14:textFill>
        </w:rPr>
        <w:t>五</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以培养马克思主义理论人才为主要目标，在国家批准的学科和专业学位类别内开展学位研究生教育</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14:textFill>
            <w14:solidFill>
              <w14:schemeClr w14:val="tx1"/>
            </w14:solidFill>
          </w14:textFill>
        </w:rPr>
        <w:t>六</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开展同国（境）内外有关机构和组织的合作与交流</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caps w:val="0"/>
          <w:color w:val="000000" w:themeColor="text1"/>
          <w:sz w:val="32"/>
          <w:szCs w:val="32"/>
          <w:lang w:eastAsia="zh-CN"/>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七</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参与市委关于党校工作政策以及干部培训计划的制定工作</w:t>
      </w:r>
      <w:r>
        <w:rPr>
          <w:rFonts w:hint="eastAsia" w:ascii="Times New Roman" w:hAnsi="Times New Roman"/>
          <w:caps w:val="0"/>
          <w:color w:val="000000" w:themeColor="text1"/>
          <w:sz w:val="32"/>
          <w:szCs w:val="32"/>
          <w:lang w:eastAsia="zh-CN"/>
          <w14:textFill>
            <w14:solidFill>
              <w14:schemeClr w14:val="tx1"/>
            </w14:solidFill>
          </w14:textFill>
        </w:rPr>
        <w:t>。</w:t>
      </w:r>
    </w:p>
    <w:p>
      <w:pPr>
        <w:snapToGrid w:val="0"/>
        <w:spacing w:line="592" w:lineRule="exact"/>
        <w:ind w:firstLine="640" w:firstLineChars="200"/>
        <w:rPr>
          <w:rFonts w:hint="eastAsia"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八</w:t>
      </w:r>
      <w:r>
        <w:rPr>
          <w:rFonts w:hint="eastAsia" w:ascii="Times New Roman" w:hAnsi="Times New Roman"/>
          <w:caps w:val="0"/>
          <w:color w:val="000000" w:themeColor="text1"/>
          <w:sz w:val="32"/>
          <w:szCs w:val="32"/>
          <w:lang w:eastAsia="zh-CN"/>
          <w14:textFill>
            <w14:solidFill>
              <w14:schemeClr w14:val="tx1"/>
            </w14:solidFill>
          </w14:textFill>
        </w:rPr>
        <w:t>）</w:t>
      </w:r>
      <w:r>
        <w:rPr>
          <w:rFonts w:hint="eastAsia" w:ascii="Times New Roman" w:hAnsi="Times New Roman" w:eastAsia="仿宋_GB2312"/>
          <w:caps w:val="0"/>
          <w:color w:val="000000" w:themeColor="text1"/>
          <w:sz w:val="32"/>
          <w:szCs w:val="32"/>
          <w:lang w:eastAsia="zh-CN"/>
          <w14:textFill>
            <w14:solidFill>
              <w14:schemeClr w14:val="tx1"/>
            </w14:solidFill>
          </w14:textFill>
        </w:rPr>
        <w:t>完成</w:t>
      </w:r>
      <w:r>
        <w:rPr>
          <w:rFonts w:hint="eastAsia" w:ascii="Times New Roman" w:hAnsi="Times New Roman" w:eastAsia="仿宋_GB2312"/>
          <w:caps w:val="0"/>
          <w:color w:val="000000" w:themeColor="text1"/>
          <w:sz w:val="32"/>
          <w:szCs w:val="32"/>
          <w14:textFill>
            <w14:solidFill>
              <w14:schemeClr w14:val="tx1"/>
            </w14:solidFill>
          </w14:textFill>
        </w:rPr>
        <w:t>市委交办的其他事项。</w:t>
      </w:r>
    </w:p>
    <w:p>
      <w:pPr>
        <w:pStyle w:val="4"/>
        <w:ind w:firstLine="640" w:firstLineChars="200"/>
        <w:rPr>
          <w:rStyle w:val="24"/>
          <w:rFonts w:ascii="Times New Roman" w:hAnsi="Times New Roman"/>
          <w:b w:val="0"/>
          <w:bCs w:val="0"/>
          <w:caps w:val="0"/>
          <w:color w:val="000000" w:themeColor="text1"/>
          <w14:textFill>
            <w14:solidFill>
              <w14:schemeClr w14:val="tx1"/>
            </w14:solidFill>
          </w14:textFill>
        </w:rPr>
      </w:pPr>
      <w:r>
        <w:rPr>
          <w:rFonts w:hint="eastAsia" w:ascii="Times New Roman" w:hAnsi="Times New Roman" w:eastAsia="黑体"/>
          <w:b w:val="0"/>
          <w:caps w:val="0"/>
          <w:color w:val="000000" w:themeColor="text1"/>
          <w14:textFill>
            <w14:solidFill>
              <w14:schemeClr w14:val="tx1"/>
            </w14:solidFill>
          </w14:textFill>
        </w:rPr>
        <w:t>二、机</w:t>
      </w:r>
      <w:r>
        <w:rPr>
          <w:rStyle w:val="24"/>
          <w:rFonts w:hint="eastAsia" w:ascii="Times New Roman" w:hAnsi="Times New Roman" w:eastAsia="黑体"/>
          <w:b w:val="0"/>
          <w:bCs w:val="0"/>
          <w:caps w:val="0"/>
          <w:color w:val="000000" w:themeColor="text1"/>
          <w14:textFill>
            <w14:solidFill>
              <w14:schemeClr w14:val="tx1"/>
            </w14:solidFill>
          </w14:textFill>
        </w:rPr>
        <w:t>构设置</w:t>
      </w:r>
      <w:bookmarkEnd w:id="4"/>
      <w:bookmarkEnd w:id="5"/>
      <w:bookmarkEnd w:id="6"/>
    </w:p>
    <w:p>
      <w:pPr>
        <w:snapToGrid w:val="0"/>
        <w:spacing w:line="592" w:lineRule="exact"/>
        <w:ind w:firstLine="640" w:firstLineChars="200"/>
        <w:rPr>
          <w:rFonts w:hint="eastAsia" w:ascii="Times New Roman" w:hAnsi="Times New Roman" w:eastAsia="仿宋_GB2312"/>
          <w:caps w:val="0"/>
          <w:color w:val="000000" w:themeColor="text1"/>
          <w:sz w:val="32"/>
          <w:szCs w:val="32"/>
          <w:lang w:eastAsia="zh-CN"/>
          <w14:textFill>
            <w14:solidFill>
              <w14:schemeClr w14:val="tx1"/>
            </w14:solidFill>
          </w14:textFill>
        </w:rPr>
      </w:pPr>
      <w:r>
        <w:rPr>
          <w:rFonts w:hint="eastAsia" w:ascii="Times New Roman" w:hAnsi="Times New Roman" w:eastAsia="仿宋_GB2312"/>
          <w:caps w:val="0"/>
          <w:color w:val="000000" w:themeColor="text1"/>
          <w:sz w:val="32"/>
          <w:szCs w:val="32"/>
          <w:lang w:eastAsia="zh-CN"/>
          <w14:textFill>
            <w14:solidFill>
              <w14:schemeClr w14:val="tx1"/>
            </w14:solidFill>
          </w14:textFill>
        </w:rPr>
        <w:t>中国共产党自贡市委员会党校下属二级预算单位</w:t>
      </w:r>
      <w:r>
        <w:rPr>
          <w:rFonts w:hint="eastAsia" w:ascii="Times New Roman" w:hAnsi="Times New Roman" w:eastAsia="仿宋_GB2312"/>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aps w:val="0"/>
          <w:color w:val="000000" w:themeColor="text1"/>
          <w:sz w:val="32"/>
          <w:szCs w:val="32"/>
          <w:lang w:eastAsia="zh-CN"/>
          <w14:textFill>
            <w14:solidFill>
              <w14:schemeClr w14:val="tx1"/>
            </w14:solidFill>
          </w14:textFill>
        </w:rPr>
        <w:t>个，其中行政单位</w:t>
      </w:r>
      <w:r>
        <w:rPr>
          <w:rFonts w:hint="eastAsia" w:ascii="Times New Roman" w:hAnsi="Times New Roman" w:eastAsia="仿宋_GB2312"/>
          <w:caps w:val="0"/>
          <w:color w:val="000000" w:themeColor="text1"/>
          <w:sz w:val="32"/>
          <w:szCs w:val="32"/>
          <w:lang w:val="en-US" w:eastAsia="zh-CN"/>
          <w14:textFill>
            <w14:solidFill>
              <w14:schemeClr w14:val="tx1"/>
            </w14:solidFill>
          </w14:textFill>
        </w:rPr>
        <w:t>0</w:t>
      </w:r>
      <w:r>
        <w:rPr>
          <w:rFonts w:hint="eastAsia" w:ascii="Times New Roman" w:hAnsi="Times New Roman" w:eastAsia="仿宋_GB2312"/>
          <w:caps w:val="0"/>
          <w:color w:val="000000" w:themeColor="text1"/>
          <w:sz w:val="32"/>
          <w:szCs w:val="32"/>
          <w:lang w:eastAsia="zh-CN"/>
          <w14:textFill>
            <w14:solidFill>
              <w14:schemeClr w14:val="tx1"/>
            </w14:solidFill>
          </w14:textFill>
        </w:rPr>
        <w:t>个，参照公务员法管理的事业单位</w:t>
      </w:r>
      <w:r>
        <w:rPr>
          <w:rFonts w:hint="eastAsia" w:ascii="Times New Roman" w:hAnsi="Times New Roman" w:eastAsia="仿宋_GB2312"/>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aps w:val="0"/>
          <w:color w:val="000000" w:themeColor="text1"/>
          <w:sz w:val="32"/>
          <w:szCs w:val="32"/>
          <w:lang w:eastAsia="zh-CN"/>
          <w14:textFill>
            <w14:solidFill>
              <w14:schemeClr w14:val="tx1"/>
            </w14:solidFill>
          </w14:textFill>
        </w:rPr>
        <w:t>个，其他事业单位</w:t>
      </w:r>
      <w:r>
        <w:rPr>
          <w:rFonts w:hint="eastAsia" w:ascii="Times New Roman" w:hAnsi="Times New Roman" w:eastAsia="仿宋_GB2312"/>
          <w:caps w:val="0"/>
          <w:color w:val="000000" w:themeColor="text1"/>
          <w:sz w:val="32"/>
          <w:szCs w:val="32"/>
          <w:lang w:val="en-US" w:eastAsia="zh-CN"/>
          <w14:textFill>
            <w14:solidFill>
              <w14:schemeClr w14:val="tx1"/>
            </w14:solidFill>
          </w14:textFill>
        </w:rPr>
        <w:t>0</w:t>
      </w:r>
      <w:r>
        <w:rPr>
          <w:rFonts w:hint="eastAsia" w:ascii="Times New Roman" w:hAnsi="Times New Roman" w:eastAsia="仿宋_GB2312"/>
          <w:caps w:val="0"/>
          <w:color w:val="000000" w:themeColor="text1"/>
          <w:sz w:val="32"/>
          <w:szCs w:val="32"/>
          <w:lang w:eastAsia="zh-CN"/>
          <w14:textFill>
            <w14:solidFill>
              <w14:schemeClr w14:val="tx1"/>
            </w14:solidFill>
          </w14:textFill>
        </w:rPr>
        <w:t>个。</w:t>
      </w:r>
    </w:p>
    <w:p>
      <w:pPr>
        <w:snapToGrid w:val="0"/>
        <w:spacing w:line="592" w:lineRule="exact"/>
        <w:ind w:firstLine="640" w:firstLineChars="200"/>
        <w:rPr>
          <w:rFonts w:hint="eastAsia" w:ascii="Times New Roman" w:hAnsi="Times New Roman" w:eastAsia="仿宋_GB2312"/>
          <w:caps w:val="0"/>
          <w:color w:val="000000" w:themeColor="text1"/>
          <w:sz w:val="32"/>
          <w:szCs w:val="32"/>
          <w:lang w:eastAsia="zh-CN"/>
          <w14:textFill>
            <w14:solidFill>
              <w14:schemeClr w14:val="tx1"/>
            </w14:solidFill>
          </w14:textFill>
        </w:rPr>
      </w:pPr>
      <w:r>
        <w:rPr>
          <w:rFonts w:hint="eastAsia" w:ascii="Times New Roman" w:hAnsi="Times New Roman" w:eastAsia="仿宋_GB2312"/>
          <w:caps w:val="0"/>
          <w:color w:val="000000" w:themeColor="text1"/>
          <w:sz w:val="32"/>
          <w:szCs w:val="32"/>
          <w:lang w:eastAsia="zh-CN"/>
          <w14:textFill>
            <w14:solidFill>
              <w14:schemeClr w14:val="tx1"/>
            </w14:solidFill>
          </w14:textFill>
        </w:rPr>
        <w:t>纳入中国共产党自贡市委员会党校202</w:t>
      </w:r>
      <w:r>
        <w:rPr>
          <w:rFonts w:hint="eastAsia" w:ascii="Times New Roman" w:hAnsi="Times New Roman" w:eastAsia="仿宋_GB2312"/>
          <w:caps w:val="0"/>
          <w:color w:val="000000" w:themeColor="text1"/>
          <w:sz w:val="32"/>
          <w:szCs w:val="32"/>
          <w:lang w:val="en-US" w:eastAsia="zh-CN"/>
          <w14:textFill>
            <w14:solidFill>
              <w14:schemeClr w14:val="tx1"/>
            </w14:solidFill>
          </w14:textFill>
        </w:rPr>
        <w:t>5</w:t>
      </w:r>
      <w:r>
        <w:rPr>
          <w:rFonts w:hint="eastAsia" w:ascii="Times New Roman" w:hAnsi="Times New Roman" w:eastAsia="仿宋_GB2312"/>
          <w:caps w:val="0"/>
          <w:color w:val="000000" w:themeColor="text1"/>
          <w:sz w:val="32"/>
          <w:szCs w:val="32"/>
          <w:lang w:eastAsia="zh-CN"/>
          <w14:textFill>
            <w14:solidFill>
              <w14:schemeClr w14:val="tx1"/>
            </w14:solidFill>
          </w14:textFill>
        </w:rPr>
        <w:t>年度部门决算编制范围的二级预算单位包括：</w:t>
      </w:r>
    </w:p>
    <w:p>
      <w:pPr>
        <w:snapToGrid w:val="0"/>
        <w:spacing w:line="592" w:lineRule="exact"/>
        <w:ind w:firstLine="640" w:firstLineChars="200"/>
        <w:rPr>
          <w:rFonts w:hint="eastAsia" w:ascii="Times New Roman" w:hAnsi="Times New Roman" w:eastAsia="仿宋_GB2312"/>
          <w:caps w:val="0"/>
          <w:color w:val="000000" w:themeColor="text1"/>
          <w:sz w:val="32"/>
          <w:szCs w:val="32"/>
          <w:lang w:eastAsia="zh-CN"/>
          <w14:textFill>
            <w14:solidFill>
              <w14:schemeClr w14:val="tx1"/>
            </w14:solidFill>
          </w14:textFill>
        </w:rPr>
      </w:pPr>
      <w:r>
        <w:rPr>
          <w:rFonts w:hint="eastAsia" w:ascii="Times New Roman" w:hAnsi="Times New Roman" w:eastAsia="仿宋_GB2312"/>
          <w:cap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aps w:val="0"/>
          <w:color w:val="000000" w:themeColor="text1"/>
          <w:sz w:val="32"/>
          <w:szCs w:val="32"/>
          <w:lang w:eastAsia="zh-CN"/>
          <w14:textFill>
            <w14:solidFill>
              <w14:schemeClr w14:val="tx1"/>
            </w14:solidFill>
          </w14:textFill>
        </w:rPr>
        <w:t>中国共产党自贡市委员会党校</w:t>
      </w:r>
    </w:p>
    <w:p>
      <w:pPr>
        <w:snapToGrid w:val="0"/>
        <w:spacing w:line="592" w:lineRule="exact"/>
        <w:ind w:firstLine="640" w:firstLineChars="200"/>
        <w:rPr>
          <w:rFonts w:hint="eastAsia" w:ascii="Times New Roman" w:hAnsi="Times New Roman" w:eastAsia="仿宋_GB2312"/>
          <w:caps w:val="0"/>
          <w:color w:val="000000" w:themeColor="text1"/>
          <w:sz w:val="32"/>
          <w:szCs w:val="32"/>
          <w:lang w:eastAsia="zh-CN"/>
          <w14:textFill>
            <w14:solidFill>
              <w14:schemeClr w14:val="tx1"/>
            </w14:solidFill>
          </w14:textFill>
        </w:rPr>
      </w:pPr>
      <w:r>
        <w:rPr>
          <w:rFonts w:hint="eastAsia" w:ascii="Times New Roman" w:hAnsi="Times New Roman" w:eastAsia="仿宋_GB2312"/>
          <w:caps w:val="0"/>
          <w:color w:val="000000" w:themeColor="text1"/>
          <w:sz w:val="32"/>
          <w:szCs w:val="32"/>
          <w:lang w:eastAsia="zh-CN"/>
          <w14:textFill>
            <w14:solidFill>
              <w14:schemeClr w14:val="tx1"/>
            </w14:solidFill>
          </w14:textFill>
        </w:rPr>
        <w:br w:type="page"/>
      </w:r>
    </w:p>
    <w:p>
      <w:pPr>
        <w:pStyle w:val="3"/>
        <w:ind w:right="440"/>
        <w:jc w:val="right"/>
        <w:rPr>
          <w:rStyle w:val="23"/>
          <w:rFonts w:hint="eastAsia" w:ascii="Times New Roman" w:hAnsi="Times New Roman" w:eastAsia="黑体"/>
          <w:b w:val="0"/>
          <w:bCs w:val="0"/>
          <w:caps w:val="0"/>
          <w:color w:val="000000" w:themeColor="text1"/>
          <w14:textFill>
            <w14:solidFill>
              <w14:schemeClr w14:val="tx1"/>
            </w14:solidFill>
          </w14:textFill>
        </w:rPr>
      </w:pPr>
      <w:bookmarkStart w:id="7" w:name="_Toc15396602"/>
      <w:bookmarkStart w:id="8" w:name="_Toc1303"/>
      <w:bookmarkStart w:id="9" w:name="_Toc15377204"/>
      <w:r>
        <w:rPr>
          <w:rFonts w:hint="eastAsia" w:ascii="Times New Roman" w:hAnsi="Times New Roman" w:eastAsia="黑体"/>
          <w:b w:val="0"/>
          <w:caps w:val="0"/>
          <w:color w:val="000000" w:themeColor="text1"/>
          <w14:textFill>
            <w14:solidFill>
              <w14:schemeClr w14:val="tx1"/>
            </w14:solidFill>
          </w14:textFill>
        </w:rPr>
        <w:t>第二部分</w:t>
      </w:r>
      <w:r>
        <w:rPr>
          <w:rFonts w:ascii="Times New Roman" w:hAnsi="Times New Roman" w:eastAsia="黑体"/>
          <w:caps w:val="0"/>
          <w:color w:val="000000" w:themeColor="text1"/>
          <w14:textFill>
            <w14:solidFill>
              <w14:schemeClr w14:val="tx1"/>
            </w14:solidFill>
          </w14:textFill>
        </w:rPr>
        <w:t xml:space="preserve"> </w:t>
      </w:r>
      <w:r>
        <w:rPr>
          <w:rStyle w:val="23"/>
          <w:rFonts w:hint="eastAsia" w:ascii="Times New Roman" w:hAnsi="Times New Roman" w:eastAsia="黑体"/>
          <w:b w:val="0"/>
          <w:bCs w:val="0"/>
          <w:caps w:val="0"/>
          <w:color w:val="000000" w:themeColor="text1"/>
          <w:lang w:eastAsia="zh-CN"/>
          <w14:textFill>
            <w14:solidFill>
              <w14:schemeClr w14:val="tx1"/>
            </w14:solidFill>
          </w14:textFill>
        </w:rPr>
        <w:t>202</w:t>
      </w:r>
      <w:r>
        <w:rPr>
          <w:rStyle w:val="23"/>
          <w:rFonts w:hint="eastAsia" w:eastAsia="黑体"/>
          <w:b w:val="0"/>
          <w:bCs w:val="0"/>
          <w:caps w:val="0"/>
          <w:color w:val="000000" w:themeColor="text1"/>
          <w:lang w:val="en-US" w:eastAsia="zh-CN"/>
          <w14:textFill>
            <w14:solidFill>
              <w14:schemeClr w14:val="tx1"/>
            </w14:solidFill>
          </w14:textFill>
        </w:rPr>
        <w:t>5</w:t>
      </w:r>
      <w:r>
        <w:rPr>
          <w:rStyle w:val="23"/>
          <w:rFonts w:hint="eastAsia" w:ascii="Times New Roman" w:hAnsi="Times New Roman" w:eastAsia="黑体"/>
          <w:b w:val="0"/>
          <w:bCs w:val="0"/>
          <w:caps w:val="0"/>
          <w:color w:val="000000" w:themeColor="text1"/>
          <w:lang w:eastAsia="zh-CN"/>
          <w14:textFill>
            <w14:solidFill>
              <w14:schemeClr w14:val="tx1"/>
            </w14:solidFill>
          </w14:textFill>
        </w:rPr>
        <w:t>年</w:t>
      </w:r>
      <w:r>
        <w:rPr>
          <w:rStyle w:val="23"/>
          <w:rFonts w:hint="eastAsia" w:ascii="Times New Roman" w:hAnsi="Times New Roman" w:eastAsia="黑体"/>
          <w:b w:val="0"/>
          <w:bCs w:val="0"/>
          <w:caps w:val="0"/>
          <w:color w:val="000000" w:themeColor="text1"/>
          <w14:textFill>
            <w14:solidFill>
              <w14:schemeClr w14:val="tx1"/>
            </w14:solidFill>
          </w14:textFill>
        </w:rPr>
        <w:t>度部门决算情况说明</w:t>
      </w:r>
      <w:bookmarkEnd w:id="7"/>
      <w:bookmarkEnd w:id="8"/>
      <w:bookmarkEnd w:id="9"/>
    </w:p>
    <w:p>
      <w:pPr>
        <w:rPr>
          <w:rFonts w:ascii="Times New Roman" w:hAnsi="Times New Roman"/>
          <w:caps w:val="0"/>
          <w:color w:val="000000" w:themeColor="text1"/>
          <w14:textFill>
            <w14:solidFill>
              <w14:schemeClr w14:val="tx1"/>
            </w14:solidFill>
          </w14:textFill>
        </w:rPr>
      </w:pPr>
    </w:p>
    <w:p>
      <w:pPr>
        <w:pStyle w:val="25"/>
        <w:numPr>
          <w:ilvl w:val="0"/>
          <w:numId w:val="1"/>
        </w:numPr>
        <w:spacing w:line="600" w:lineRule="exact"/>
        <w:ind w:firstLineChars="0"/>
        <w:outlineLvl w:val="1"/>
        <w:rPr>
          <w:rStyle w:val="24"/>
          <w:rFonts w:ascii="Times New Roman" w:hAnsi="Times New Roman" w:eastAsia="黑体"/>
          <w:b w:val="0"/>
          <w:caps w:val="0"/>
          <w:color w:val="000000" w:themeColor="text1"/>
          <w14:textFill>
            <w14:solidFill>
              <w14:schemeClr w14:val="tx1"/>
            </w14:solidFill>
          </w14:textFill>
        </w:rPr>
      </w:pPr>
      <w:bookmarkStart w:id="10" w:name="_Toc17065"/>
      <w:bookmarkStart w:id="11" w:name="_Toc15396603"/>
      <w:bookmarkStart w:id="12" w:name="_Toc15377205"/>
      <w:r>
        <w:rPr>
          <w:rFonts w:hint="eastAsia" w:ascii="Times New Roman" w:hAnsi="Times New Roman" w:eastAsia="黑体"/>
          <w:caps w:val="0"/>
          <w:color w:val="000000" w:themeColor="text1"/>
          <w:sz w:val="32"/>
          <w:szCs w:val="32"/>
          <w14:textFill>
            <w14:solidFill>
              <w14:schemeClr w14:val="tx1"/>
            </w14:solidFill>
          </w14:textFill>
        </w:rPr>
        <w:t>收</w:t>
      </w:r>
      <w:r>
        <w:rPr>
          <w:rStyle w:val="24"/>
          <w:rFonts w:hint="eastAsia" w:ascii="Times New Roman" w:hAnsi="Times New Roman" w:eastAsia="黑体"/>
          <w:b w:val="0"/>
          <w:caps w:val="0"/>
          <w:color w:val="000000" w:themeColor="text1"/>
          <w14:textFill>
            <w14:solidFill>
              <w14:schemeClr w14:val="tx1"/>
            </w14:solidFill>
          </w14:textFill>
        </w:rPr>
        <w:t>入支出决算总体情况说明</w:t>
      </w:r>
      <w:bookmarkEnd w:id="10"/>
      <w:bookmarkEnd w:id="11"/>
      <w:bookmarkEnd w:id="12"/>
    </w:p>
    <w:p>
      <w:pPr>
        <w:spacing w:line="600" w:lineRule="exact"/>
        <w:ind w:firstLine="640" w:firstLineChars="200"/>
        <w:rPr>
          <w:rFonts w:hint="eastAsia" w:ascii="Times New Roman" w:hAnsi="Times New Roman" w:eastAsia="仿宋_GB2312" w:cs="仿宋_GB2312"/>
          <w:caps w:val="0"/>
          <w:color w:val="000000" w:themeColor="text1"/>
          <w:sz w:val="32"/>
          <w:szCs w:val="32"/>
          <w:lang w:eastAsia="zh-CN"/>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年</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度</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w:t>
      </w:r>
      <w:r>
        <w:rPr>
          <w:rFonts w:hint="eastAsia" w:cs="仿宋_GB2312"/>
          <w:caps w:val="0"/>
          <w:color w:val="000000" w:themeColor="text1"/>
          <w:sz w:val="32"/>
          <w:szCs w:val="32"/>
          <w:highlight w:val="none"/>
          <w:lang w:eastAsia="zh-CN"/>
          <w14:textFill>
            <w14:solidFill>
              <w14:schemeClr w14:val="tx1"/>
            </w14:solidFill>
          </w14:textFill>
        </w:rPr>
        <w:t>均为</w:t>
      </w:r>
      <w:r>
        <w:rPr>
          <w:rFonts w:hint="eastAsia" w:cs="仿宋_GB2312"/>
          <w:caps w:val="0"/>
          <w:color w:val="000000" w:themeColor="text1"/>
          <w:sz w:val="32"/>
          <w:szCs w:val="32"/>
          <w:highlight w:val="none"/>
          <w:lang w:val="en-US" w:eastAsia="zh-CN"/>
          <w14:textFill>
            <w14:solidFill>
              <w14:schemeClr w14:val="tx1"/>
            </w14:solidFill>
          </w14:textFill>
        </w:rPr>
        <w:t>3361.96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相比，</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总计各</w:t>
      </w:r>
      <w:r>
        <w:rPr>
          <w:rFonts w:hint="eastAsia" w:cs="仿宋_GB2312"/>
          <w:caps w:val="0"/>
          <w:color w:val="000000" w:themeColor="text1"/>
          <w:sz w:val="32"/>
          <w:szCs w:val="32"/>
          <w:highlight w:val="none"/>
          <w:lang w:eastAsia="zh-CN"/>
          <w14:textFill>
            <w14:solidFill>
              <w14:schemeClr w14:val="tx1"/>
            </w14:solidFill>
          </w14:textFill>
        </w:rPr>
        <w:t>增加</w:t>
      </w:r>
      <w:r>
        <w:rPr>
          <w:rFonts w:hint="eastAsia" w:cs="仿宋_GB2312"/>
          <w:caps w:val="0"/>
          <w:color w:val="000000" w:themeColor="text1"/>
          <w:sz w:val="32"/>
          <w:szCs w:val="32"/>
          <w:highlight w:val="none"/>
          <w:lang w:val="en-US" w:eastAsia="zh-CN"/>
          <w14:textFill>
            <w14:solidFill>
              <w14:schemeClr w14:val="tx1"/>
            </w14:solidFill>
          </w14:textFill>
        </w:rPr>
        <w:t>1177.22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增长</w:t>
      </w:r>
      <w:r>
        <w:rPr>
          <w:rFonts w:hint="eastAsia" w:cs="仿宋_GB2312"/>
          <w:caps w:val="0"/>
          <w:color w:val="000000" w:themeColor="text1"/>
          <w:sz w:val="32"/>
          <w:szCs w:val="32"/>
          <w:highlight w:val="none"/>
          <w:lang w:val="en-US" w:eastAsia="zh-CN"/>
          <w14:textFill>
            <w14:solidFill>
              <w14:schemeClr w14:val="tx1"/>
            </w14:solidFill>
          </w14:textFill>
        </w:rPr>
        <w:t>53.88</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%。主要变动原因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一是追加了党校迁建项目工程款部分尾款，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二是新增下达了省级干部教育培训机构质量提升专项资金，三是2025年对外合作培训班次人次较上年增加，收</w:t>
      </w:r>
      <w:r>
        <w:rPr>
          <w:rFonts w:hint="eastAsia" w:cs="Times New Roman"/>
          <w:color w:val="000000" w:themeColor="text1"/>
          <w:sz w:val="32"/>
          <w:szCs w:val="32"/>
          <w:lang w:val="en-US" w:eastAsia="zh-CN"/>
          <w14:textFill>
            <w14:solidFill>
              <w14:schemeClr w14:val="tx1"/>
            </w14:solidFill>
          </w14:textFill>
        </w:rPr>
        <w:t>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也较上年有所增加</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p>
    <w:p>
      <w:pPr>
        <w:spacing w:line="600" w:lineRule="exact"/>
        <w:ind w:firstLine="6720" w:firstLineChars="2100"/>
        <w:rPr>
          <w:rFonts w:hint="eastAsia" w:ascii="Times New Roman" w:hAnsi="Times New Roman"/>
          <w:caps w:val="0"/>
          <w:color w:val="000000" w:themeColor="text1"/>
          <w:lang w:eastAsia="zh-CN"/>
          <w14:textFill>
            <w14:solidFill>
              <w14:schemeClr w14:val="tx1"/>
            </w14:solidFill>
          </w14:textFill>
        </w:rPr>
      </w:pPr>
      <w:r>
        <w:rPr>
          <w:rFonts w:hint="eastAsia" w:ascii="Times New Roman" w:hAnsi="Times New Roman"/>
          <w:caps w:val="0"/>
          <w:color w:val="000000" w:themeColor="text1"/>
          <w:lang w:eastAsia="zh-CN"/>
          <w14:textFill>
            <w14:solidFill>
              <w14:schemeClr w14:val="tx1"/>
            </w14:solidFill>
          </w14:textFill>
        </w:rPr>
        <w:t>单位：万元</w:t>
      </w:r>
    </w:p>
    <w:p>
      <w:pPr>
        <w:pStyle w:val="2"/>
      </w:pPr>
      <w:r>
        <w:drawing>
          <wp:anchor distT="0" distB="0" distL="114300" distR="114300" simplePos="0" relativeHeight="251660288" behindDoc="0" locked="0" layoutInCell="1" allowOverlap="1">
            <wp:simplePos x="0" y="0"/>
            <wp:positionH relativeFrom="column">
              <wp:posOffset>648970</wp:posOffset>
            </wp:positionH>
            <wp:positionV relativeFrom="paragraph">
              <wp:posOffset>19685</wp:posOffset>
            </wp:positionV>
            <wp:extent cx="4314190" cy="2686685"/>
            <wp:effectExtent l="4445" t="4445" r="5715" b="13970"/>
            <wp:wrapNone/>
            <wp:docPr id="113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ascii="Times New Roman" w:hAnsi="Times New Roman"/>
          <w:caps w:val="0"/>
          <w:color w:val="000000" w:themeColor="text1"/>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（图1：</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14:textFill>
            <w14:solidFill>
              <w14:schemeClr w14:val="tx1"/>
            </w14:solidFill>
          </w14:textFill>
        </w:rPr>
        <w:t>决算总计变动情况图）</w:t>
      </w:r>
    </w:p>
    <w:p>
      <w:pPr>
        <w:pStyle w:val="25"/>
        <w:numPr>
          <w:ilvl w:val="0"/>
          <w:numId w:val="1"/>
        </w:numPr>
        <w:spacing w:line="600" w:lineRule="exact"/>
        <w:ind w:firstLineChars="0"/>
        <w:outlineLvl w:val="1"/>
        <w:rPr>
          <w:rStyle w:val="24"/>
          <w:rFonts w:ascii="Times New Roman" w:hAnsi="Times New Roman" w:eastAsia="黑体"/>
          <w:b w:val="0"/>
          <w:caps w:val="0"/>
          <w:color w:val="000000" w:themeColor="text1"/>
          <w14:textFill>
            <w14:solidFill>
              <w14:schemeClr w14:val="tx1"/>
            </w14:solidFill>
          </w14:textFill>
        </w:rPr>
      </w:pPr>
      <w:bookmarkStart w:id="13" w:name="_Toc12413"/>
      <w:bookmarkStart w:id="14" w:name="_Toc15396604"/>
      <w:bookmarkStart w:id="15" w:name="_Toc15377206"/>
      <w:r>
        <w:rPr>
          <w:rFonts w:hint="eastAsia" w:ascii="Times New Roman" w:hAnsi="Times New Roman" w:eastAsia="黑体"/>
          <w:caps w:val="0"/>
          <w:color w:val="000000" w:themeColor="text1"/>
          <w:sz w:val="32"/>
          <w:szCs w:val="32"/>
          <w14:textFill>
            <w14:solidFill>
              <w14:schemeClr w14:val="tx1"/>
            </w14:solidFill>
          </w14:textFill>
        </w:rPr>
        <w:t>收</w:t>
      </w:r>
      <w:r>
        <w:rPr>
          <w:rStyle w:val="24"/>
          <w:rFonts w:hint="eastAsia" w:ascii="Times New Roman" w:hAnsi="Times New Roman" w:eastAsia="黑体"/>
          <w:b w:val="0"/>
          <w:caps w:val="0"/>
          <w:color w:val="000000" w:themeColor="text1"/>
          <w14:textFill>
            <w14:solidFill>
              <w14:schemeClr w14:val="tx1"/>
            </w14:solidFill>
          </w14:textFill>
        </w:rPr>
        <w:t>入决算情况说明</w:t>
      </w:r>
      <w:bookmarkEnd w:id="13"/>
      <w:bookmarkEnd w:id="14"/>
      <w:bookmarkEnd w:id="15"/>
    </w:p>
    <w:p>
      <w:pPr>
        <w:spacing w:line="600" w:lineRule="exact"/>
        <w:ind w:firstLine="640" w:firstLineChars="200"/>
        <w:outlineLvl w:val="9"/>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本年收入合计</w:t>
      </w:r>
      <w:r>
        <w:rPr>
          <w:rFonts w:hint="eastAsia" w:cs="仿宋_GB2312"/>
          <w:caps w:val="0"/>
          <w:color w:val="000000" w:themeColor="text1"/>
          <w:sz w:val="32"/>
          <w:szCs w:val="32"/>
          <w:highlight w:val="none"/>
          <w:lang w:val="en-US" w:eastAsia="zh-CN"/>
          <w14:textFill>
            <w14:solidFill>
              <w14:schemeClr w14:val="tx1"/>
            </w14:solidFill>
          </w14:textFill>
        </w:rPr>
        <w:t>3361.96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万元，其中：一般公共预算财政拨款收入</w:t>
      </w:r>
      <w:r>
        <w:rPr>
          <w:rFonts w:hint="eastAsia" w:cs="仿宋_GB2312"/>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99.44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%；事业收入</w:t>
      </w:r>
      <w:r>
        <w:rPr>
          <w:rFonts w:hint="eastAsia" w:cs="仿宋_GB2312"/>
          <w:caps w:val="0"/>
          <w:color w:val="000000" w:themeColor="text1"/>
          <w:sz w:val="32"/>
          <w:szCs w:val="32"/>
          <w:highlight w:val="none"/>
          <w:lang w:val="en-US" w:eastAsia="zh-CN"/>
          <w14:textFill>
            <w14:solidFill>
              <w14:schemeClr w14:val="tx1"/>
            </w14:solidFill>
          </w14:textFill>
        </w:rPr>
        <w:t>18.76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0.56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600" w:lineRule="exact"/>
        <w:ind w:firstLine="640" w:firstLineChars="200"/>
        <w:outlineLvl w:val="1"/>
        <w:rPr>
          <w:rFonts w:ascii="Times New Roman" w:hAnsi="Times New Roman" w:eastAsia="仿宋"/>
          <w:caps w:val="0"/>
          <w:color w:val="000000" w:themeColor="text1"/>
          <w:sz w:val="32"/>
          <w:szCs w:val="32"/>
          <w14:textFill>
            <w14:solidFill>
              <w14:schemeClr w14:val="tx1"/>
            </w14:solidFill>
          </w14:textFill>
        </w:rPr>
      </w:pPr>
    </w:p>
    <w:p>
      <w:pPr>
        <w:pStyle w:val="10"/>
        <w:rPr>
          <w:rFonts w:ascii="Times New Roman" w:hAnsi="Times New Roman"/>
          <w:caps w:val="0"/>
          <w:color w:val="000000" w:themeColor="text1"/>
          <w14:textFill>
            <w14:solidFill>
              <w14:schemeClr w14:val="tx1"/>
            </w14:solidFill>
          </w14:textFill>
        </w:rPr>
      </w:pPr>
      <w:r>
        <w:rPr>
          <w:rFonts w:hint="eastAsia" w:ascii="Times New Roman" w:hAnsi="Times New Roman"/>
          <w:caps w:val="0"/>
          <w:color w:val="000000" w:themeColor="text1"/>
          <w:lang w:val="en-US" w:eastAsia="zh-CN"/>
          <w14:textFill>
            <w14:solidFill>
              <w14:schemeClr w14:val="tx1"/>
            </w14:solidFill>
          </w14:textFill>
        </w:rPr>
        <w:t xml:space="preserve">  </w:t>
      </w:r>
      <w:r>
        <w:drawing>
          <wp:inline distT="0" distB="0" distL="114300" distR="114300">
            <wp:extent cx="4572000" cy="2743200"/>
            <wp:effectExtent l="4445" t="4445" r="14605" b="14605"/>
            <wp:docPr id="112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line="600" w:lineRule="exact"/>
        <w:jc w:val="center"/>
        <w:rPr>
          <w:rFonts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（图2：收入决算结构图）</w:t>
      </w:r>
    </w:p>
    <w:p>
      <w:pPr>
        <w:pStyle w:val="25"/>
        <w:numPr>
          <w:ilvl w:val="0"/>
          <w:numId w:val="1"/>
        </w:numPr>
        <w:spacing w:line="600" w:lineRule="exact"/>
        <w:ind w:firstLineChars="0"/>
        <w:outlineLvl w:val="1"/>
        <w:rPr>
          <w:rStyle w:val="24"/>
          <w:rFonts w:ascii="Times New Roman" w:hAnsi="Times New Roman" w:eastAsia="黑体"/>
          <w:b w:val="0"/>
          <w:caps w:val="0"/>
          <w:color w:val="000000" w:themeColor="text1"/>
          <w14:textFill>
            <w14:solidFill>
              <w14:schemeClr w14:val="tx1"/>
            </w14:solidFill>
          </w14:textFill>
        </w:rPr>
      </w:pPr>
      <w:bookmarkStart w:id="16" w:name="_Toc15377207"/>
      <w:bookmarkStart w:id="17" w:name="_Toc8342"/>
      <w:bookmarkStart w:id="18" w:name="_Toc15396605"/>
      <w:r>
        <w:rPr>
          <w:rFonts w:hint="eastAsia" w:ascii="Times New Roman" w:hAnsi="Times New Roman" w:eastAsia="黑体"/>
          <w:caps w:val="0"/>
          <w:color w:val="000000" w:themeColor="text1"/>
          <w:sz w:val="32"/>
          <w:szCs w:val="32"/>
          <w14:textFill>
            <w14:solidFill>
              <w14:schemeClr w14:val="tx1"/>
            </w14:solidFill>
          </w14:textFill>
        </w:rPr>
        <w:t>支</w:t>
      </w:r>
      <w:r>
        <w:rPr>
          <w:rStyle w:val="24"/>
          <w:rFonts w:hint="eastAsia" w:ascii="Times New Roman" w:hAnsi="Times New Roman" w:eastAsia="黑体"/>
          <w:b w:val="0"/>
          <w:caps w:val="0"/>
          <w:color w:val="000000" w:themeColor="text1"/>
          <w14:textFill>
            <w14:solidFill>
              <w14:schemeClr w14:val="tx1"/>
            </w14:solidFill>
          </w14:textFill>
        </w:rPr>
        <w:t>出决算情况说明</w:t>
      </w:r>
      <w:bookmarkEnd w:id="16"/>
      <w:bookmarkEnd w:id="17"/>
      <w:bookmarkEnd w:id="18"/>
    </w:p>
    <w:p>
      <w:pPr>
        <w:spacing w:line="600" w:lineRule="exact"/>
        <w:ind w:firstLine="640" w:firstLineChars="200"/>
        <w:outlineLvl w:val="9"/>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本年支出合计</w:t>
      </w:r>
      <w:r>
        <w:rPr>
          <w:rFonts w:hint="eastAsia" w:cs="仿宋_GB2312"/>
          <w:caps w:val="0"/>
          <w:color w:val="000000" w:themeColor="text1"/>
          <w:sz w:val="32"/>
          <w:szCs w:val="32"/>
          <w:highlight w:val="none"/>
          <w:lang w:val="en-US" w:eastAsia="zh-CN"/>
          <w14:textFill>
            <w14:solidFill>
              <w14:schemeClr w14:val="tx1"/>
            </w14:solidFill>
          </w14:textFill>
        </w:rPr>
        <w:t>3361.96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万元，其中：基本支出</w:t>
      </w:r>
      <w:r>
        <w:rPr>
          <w:rFonts w:hint="eastAsia" w:cs="仿宋_GB2312"/>
          <w:caps w:val="0"/>
          <w:color w:val="000000" w:themeColor="text1"/>
          <w:sz w:val="32"/>
          <w:szCs w:val="32"/>
          <w:highlight w:val="none"/>
          <w:lang w:val="en-US" w:eastAsia="zh-CN"/>
          <w14:textFill>
            <w14:solidFill>
              <w14:schemeClr w14:val="tx1"/>
            </w14:solidFill>
          </w14:textFill>
        </w:rPr>
        <w:t>1860.23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55.33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%；项目支出</w:t>
      </w:r>
      <w:r>
        <w:rPr>
          <w:rFonts w:hint="eastAsia" w:cs="仿宋_GB2312"/>
          <w:caps w:val="0"/>
          <w:color w:val="000000" w:themeColor="text1"/>
          <w:sz w:val="32"/>
          <w:szCs w:val="32"/>
          <w:highlight w:val="none"/>
          <w:lang w:val="en-US" w:eastAsia="zh-CN"/>
          <w14:textFill>
            <w14:solidFill>
              <w14:schemeClr w14:val="tx1"/>
            </w14:solidFill>
          </w14:textFill>
        </w:rPr>
        <w:t>1501.73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44.67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r>
        <w:drawing>
          <wp:anchor distT="0" distB="0" distL="114300" distR="114300" simplePos="0" relativeHeight="251661312" behindDoc="0" locked="0" layoutInCell="1" allowOverlap="1">
            <wp:simplePos x="0" y="0"/>
            <wp:positionH relativeFrom="column">
              <wp:posOffset>496570</wp:posOffset>
            </wp:positionH>
            <wp:positionV relativeFrom="paragraph">
              <wp:posOffset>213995</wp:posOffset>
            </wp:positionV>
            <wp:extent cx="4572000" cy="2381885"/>
            <wp:effectExtent l="5080" t="4445" r="13970" b="13970"/>
            <wp:wrapNone/>
            <wp:docPr id="113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ind w:firstLine="640" w:firstLineChars="200"/>
        <w:jc w:val="center"/>
        <w:rPr>
          <w:rFonts w:ascii="Times New Roman" w:hAnsi="Times New Roman" w:eastAsia="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（图3：支出决算结构图）</w:t>
      </w:r>
    </w:p>
    <w:p>
      <w:pPr>
        <w:spacing w:line="600" w:lineRule="exact"/>
        <w:ind w:firstLine="640" w:firstLineChars="200"/>
        <w:outlineLvl w:val="1"/>
        <w:rPr>
          <w:rStyle w:val="24"/>
          <w:rFonts w:ascii="Times New Roman" w:hAnsi="Times New Roman" w:eastAsia="黑体"/>
          <w:b w:val="0"/>
          <w:caps w:val="0"/>
          <w:color w:val="000000" w:themeColor="text1"/>
          <w14:textFill>
            <w14:solidFill>
              <w14:schemeClr w14:val="tx1"/>
            </w14:solidFill>
          </w14:textFill>
        </w:rPr>
      </w:pPr>
      <w:bookmarkStart w:id="19" w:name="_Toc23551"/>
      <w:bookmarkStart w:id="20" w:name="_Toc15377208"/>
      <w:bookmarkStart w:id="21" w:name="_Toc15396606"/>
      <w:r>
        <w:rPr>
          <w:rFonts w:hint="eastAsia" w:ascii="Times New Roman" w:hAnsi="Times New Roman" w:eastAsia="黑体"/>
          <w:caps w:val="0"/>
          <w:color w:val="000000" w:themeColor="text1"/>
          <w:sz w:val="32"/>
          <w:szCs w:val="32"/>
          <w14:textFill>
            <w14:solidFill>
              <w14:schemeClr w14:val="tx1"/>
            </w14:solidFill>
          </w14:textFill>
        </w:rPr>
        <w:t>四、财</w:t>
      </w:r>
      <w:r>
        <w:rPr>
          <w:rStyle w:val="24"/>
          <w:rFonts w:hint="eastAsia" w:ascii="Times New Roman" w:hAnsi="Times New Roman" w:eastAsia="黑体"/>
          <w:b w:val="0"/>
          <w:caps w:val="0"/>
          <w:color w:val="000000" w:themeColor="text1"/>
          <w14:textFill>
            <w14:solidFill>
              <w14:schemeClr w14:val="tx1"/>
            </w14:solidFill>
          </w14:textFill>
        </w:rPr>
        <w:t>政拨款收入支出决算总体情况说明</w:t>
      </w:r>
      <w:bookmarkEnd w:id="19"/>
      <w:bookmarkEnd w:id="20"/>
      <w:bookmarkEnd w:id="21"/>
    </w:p>
    <w:p>
      <w:pPr>
        <w:spacing w:line="600" w:lineRule="exact"/>
        <w:ind w:firstLine="640"/>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财政拨款</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w:t>
      </w:r>
      <w:r>
        <w:rPr>
          <w:rFonts w:hint="eastAsia" w:cs="仿宋_GB2312"/>
          <w:caps w:val="0"/>
          <w:color w:val="000000" w:themeColor="text1"/>
          <w:sz w:val="32"/>
          <w:szCs w:val="32"/>
          <w:highlight w:val="none"/>
          <w:lang w:eastAsia="zh-CN"/>
          <w14:textFill>
            <w14:solidFill>
              <w14:schemeClr w14:val="tx1"/>
            </w14:solidFill>
          </w14:textFill>
        </w:rPr>
        <w:t>均为</w:t>
      </w:r>
      <w:r>
        <w:rPr>
          <w:rFonts w:hint="eastAsia" w:cs="仿宋_GB2312"/>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相比，财政拨款</w:t>
      </w:r>
      <w:r>
        <w:rPr>
          <w:rFonts w:hint="eastAsia" w:cs="仿宋_GB2312"/>
          <w:caps w:val="0"/>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总计各增加</w:t>
      </w:r>
      <w:r>
        <w:rPr>
          <w:rFonts w:hint="eastAsia" w:cs="仿宋_GB2312"/>
          <w:caps w:val="0"/>
          <w:color w:val="000000" w:themeColor="text1"/>
          <w:sz w:val="32"/>
          <w:szCs w:val="32"/>
          <w:highlight w:val="none"/>
          <w:lang w:val="en-US" w:eastAsia="zh-CN"/>
          <w14:textFill>
            <w14:solidFill>
              <w14:schemeClr w14:val="tx1"/>
            </w14:solidFill>
          </w14:textFill>
        </w:rPr>
        <w:t>1318.53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万元，增长</w:t>
      </w:r>
      <w:r>
        <w:rPr>
          <w:rFonts w:hint="eastAsia" w:cs="仿宋_GB2312"/>
          <w:caps w:val="0"/>
          <w:color w:val="000000" w:themeColor="text1"/>
          <w:sz w:val="32"/>
          <w:szCs w:val="32"/>
          <w:highlight w:val="none"/>
          <w:lang w:val="en-US" w:eastAsia="zh-CN"/>
          <w14:textFill>
            <w14:solidFill>
              <w14:schemeClr w14:val="tx1"/>
            </w14:solidFill>
          </w14:textFill>
        </w:rPr>
        <w:t>65.12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%。主要变动原因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一是追加了党校迁建项目工程款部分尾款，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二是新增下达了省级干部教育培训机构质量提升专项资金，三是2025年对外合作培训班次人次较上年增加，收</w:t>
      </w:r>
      <w:r>
        <w:rPr>
          <w:rFonts w:hint="eastAsia" w:cs="Times New Roman"/>
          <w:color w:val="000000" w:themeColor="text1"/>
          <w:sz w:val="32"/>
          <w:szCs w:val="32"/>
          <w:lang w:val="en-US" w:eastAsia="zh-CN"/>
          <w14:textFill>
            <w14:solidFill>
              <w14:schemeClr w14:val="tx1"/>
            </w14:solidFill>
          </w14:textFill>
        </w:rPr>
        <w:t>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也较上年有所增加</w:t>
      </w:r>
      <w:r>
        <w:rPr>
          <w:rFonts w:hint="eastAsia" w:ascii="Times New Roman" w:hAnsi="Times New Roman" w:eastAsia="仿宋" w:cs="仿宋"/>
          <w:caps w:val="0"/>
          <w:color w:val="000000" w:themeColor="text1"/>
          <w:kern w:val="0"/>
          <w:sz w:val="32"/>
          <w:szCs w:val="32"/>
          <w14:textFill>
            <w14:solidFill>
              <w14:schemeClr w14:val="tx1"/>
            </w14:solidFill>
          </w14:textFill>
        </w:rPr>
        <w:t>。</w:t>
      </w:r>
    </w:p>
    <w:p>
      <w:pPr>
        <w:pStyle w:val="10"/>
        <w:ind w:firstLine="6804" w:firstLineChars="2100"/>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eastAsia="仿宋"/>
          <w:caps w:val="0"/>
          <w:color w:val="000000" w:themeColor="text1"/>
          <w:sz w:val="32"/>
          <w:szCs w:val="32"/>
          <w:lang w:val="en-US" w:eastAsia="zh-CN"/>
          <w14:textFill>
            <w14:solidFill>
              <w14:schemeClr w14:val="tx1"/>
            </w14:solidFill>
          </w14:textFill>
        </w:rPr>
        <w:t>单位：万元</w:t>
      </w:r>
    </w:p>
    <w:p>
      <w:pPr>
        <w:pStyle w:val="10"/>
        <w:jc w:val="both"/>
        <w:rPr>
          <w:rFonts w:ascii="Times New Roman" w:hAnsi="Times New Roman"/>
          <w:caps w:val="0"/>
          <w:color w:val="000000" w:themeColor="text1"/>
          <w14:textFill>
            <w14:solidFill>
              <w14:schemeClr w14:val="tx1"/>
            </w14:solidFill>
          </w14:textFill>
        </w:rPr>
      </w:pPr>
      <w:r>
        <w:rPr>
          <w:rFonts w:hint="eastAsia" w:ascii="Times New Roman" w:hAnsi="Times New Roman"/>
          <w:caps w:val="0"/>
          <w:color w:val="000000" w:themeColor="text1"/>
          <w:lang w:val="en-US" w:eastAsia="zh-CN"/>
          <w14:textFill>
            <w14:solidFill>
              <w14:schemeClr w14:val="tx1"/>
            </w14:solidFill>
          </w14:textFill>
        </w:rPr>
        <w:t xml:space="preserve"> </w:t>
      </w:r>
      <w:r>
        <w:drawing>
          <wp:inline distT="0" distB="0" distL="114300" distR="114300">
            <wp:extent cx="4572000" cy="2743200"/>
            <wp:effectExtent l="4445" t="4445" r="14605" b="14605"/>
            <wp:docPr id="113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10"/>
        <w:jc w:val="center"/>
        <w:rPr>
          <w:rFonts w:ascii="Times New Roman" w:hAnsi="Times New Roman" w:eastAsia="仿宋"/>
          <w:b/>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（图4：财政拨款收、支决算总计变动情况）</w:t>
      </w:r>
    </w:p>
    <w:p>
      <w:pPr>
        <w:spacing w:line="600" w:lineRule="exact"/>
        <w:ind w:firstLine="640" w:firstLineChars="200"/>
        <w:outlineLvl w:val="1"/>
        <w:rPr>
          <w:rStyle w:val="24"/>
          <w:rFonts w:ascii="Times New Roman" w:hAnsi="Times New Roman" w:eastAsia="黑体"/>
          <w:b w:val="0"/>
          <w:caps w:val="0"/>
          <w:color w:val="000000" w:themeColor="text1"/>
          <w14:textFill>
            <w14:solidFill>
              <w14:schemeClr w14:val="tx1"/>
            </w14:solidFill>
          </w14:textFill>
        </w:rPr>
      </w:pPr>
      <w:bookmarkStart w:id="22" w:name="_Toc7507"/>
      <w:bookmarkStart w:id="23" w:name="_Toc15396607"/>
      <w:bookmarkStart w:id="24" w:name="_Toc15377209"/>
      <w:r>
        <w:rPr>
          <w:rFonts w:hint="eastAsia" w:ascii="Times New Roman" w:hAnsi="Times New Roman" w:eastAsia="黑体"/>
          <w:caps w:val="0"/>
          <w:color w:val="000000" w:themeColor="text1"/>
          <w:sz w:val="32"/>
          <w:szCs w:val="32"/>
          <w14:textFill>
            <w14:solidFill>
              <w14:schemeClr w14:val="tx1"/>
            </w14:solidFill>
          </w14:textFill>
        </w:rPr>
        <w:t>五、</w:t>
      </w:r>
      <w:r>
        <w:rPr>
          <w:rFonts w:hint="eastAsia" w:ascii="Times New Roman" w:hAnsi="Times New Roman" w:eastAsia="黑体"/>
          <w:b/>
          <w:caps w:val="0"/>
          <w:color w:val="000000" w:themeColor="text1"/>
          <w:sz w:val="32"/>
          <w:szCs w:val="32"/>
          <w14:textFill>
            <w14:solidFill>
              <w14:schemeClr w14:val="tx1"/>
            </w14:solidFill>
          </w14:textFill>
        </w:rPr>
        <w:t>一</w:t>
      </w:r>
      <w:r>
        <w:rPr>
          <w:rStyle w:val="24"/>
          <w:rFonts w:hint="eastAsia" w:ascii="Times New Roman" w:hAnsi="Times New Roman" w:eastAsia="黑体"/>
          <w:b w:val="0"/>
          <w:caps w:val="0"/>
          <w:color w:val="000000" w:themeColor="text1"/>
          <w14:textFill>
            <w14:solidFill>
              <w14:schemeClr w14:val="tx1"/>
            </w14:solidFill>
          </w14:textFill>
        </w:rPr>
        <w:t>般公共预算财政拨款支出决算情况说明</w:t>
      </w:r>
      <w:bookmarkEnd w:id="22"/>
      <w:bookmarkEnd w:id="23"/>
      <w:bookmarkEnd w:id="24"/>
    </w:p>
    <w:p>
      <w:pPr>
        <w:spacing w:line="600" w:lineRule="exact"/>
        <w:ind w:firstLine="643" w:firstLineChars="200"/>
        <w:outlineLvl w:val="2"/>
        <w:rPr>
          <w:rFonts w:ascii="Times New Roman" w:hAnsi="Times New Roman" w:eastAsia="仿宋"/>
          <w:b/>
          <w:caps w:val="0"/>
          <w:color w:val="000000" w:themeColor="text1"/>
          <w:sz w:val="32"/>
          <w:szCs w:val="32"/>
          <w14:textFill>
            <w14:solidFill>
              <w14:schemeClr w14:val="tx1"/>
            </w14:solidFill>
          </w14:textFill>
        </w:rPr>
      </w:pPr>
      <w:bookmarkStart w:id="25" w:name="_Toc15377210"/>
      <w:r>
        <w:rPr>
          <w:rFonts w:hint="eastAsia" w:ascii="Times New Roman" w:hAnsi="Times New Roman" w:eastAsia="仿宋"/>
          <w:b/>
          <w:caps w:val="0"/>
          <w:color w:val="000000" w:themeColor="text1"/>
          <w:sz w:val="32"/>
          <w:szCs w:val="32"/>
          <w14:textFill>
            <w14:solidFill>
              <w14:schemeClr w14:val="tx1"/>
            </w14:solidFill>
          </w14:textFill>
        </w:rPr>
        <w:t>（一）一般公共预算财政拨款支出决算总体情况</w:t>
      </w:r>
      <w:bookmarkEnd w:id="25"/>
    </w:p>
    <w:p>
      <w:pPr>
        <w:spacing w:line="600" w:lineRule="exact"/>
        <w:ind w:firstLine="640" w:firstLineChars="20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一般公共预算财政拨款支出</w:t>
      </w:r>
      <w:r>
        <w:rPr>
          <w:rFonts w:hint="eastAsia" w:cs="仿宋_GB2312"/>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万元，占本年支出合计的</w:t>
      </w:r>
      <w:r>
        <w:rPr>
          <w:rFonts w:hint="eastAsia" w:cs="仿宋_GB2312"/>
          <w:caps w:val="0"/>
          <w:color w:val="000000" w:themeColor="text1"/>
          <w:sz w:val="32"/>
          <w:szCs w:val="32"/>
          <w:highlight w:val="none"/>
          <w:lang w:val="en-US" w:eastAsia="zh-CN"/>
          <w14:textFill>
            <w14:solidFill>
              <w14:schemeClr w14:val="tx1"/>
            </w14:solidFill>
          </w14:textFill>
        </w:rPr>
        <w:t>99.44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相比，一般公共预算财政拨款</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增加</w:t>
      </w:r>
      <w:r>
        <w:rPr>
          <w:rFonts w:hint="eastAsia" w:cs="仿宋_GB2312"/>
          <w:caps w:val="0"/>
          <w:color w:val="000000" w:themeColor="text1"/>
          <w:sz w:val="32"/>
          <w:szCs w:val="32"/>
          <w:highlight w:val="none"/>
          <w:lang w:val="en-US" w:eastAsia="zh-CN"/>
          <w14:textFill>
            <w14:solidFill>
              <w14:schemeClr w14:val="tx1"/>
            </w14:solidFill>
          </w14:textFill>
        </w:rPr>
        <w:t>1318.53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万元，增长</w:t>
      </w:r>
      <w:r>
        <w:rPr>
          <w:rFonts w:hint="eastAsia" w:cs="仿宋_GB2312"/>
          <w:caps w:val="0"/>
          <w:color w:val="000000" w:themeColor="text1"/>
          <w:sz w:val="32"/>
          <w:szCs w:val="32"/>
          <w:highlight w:val="none"/>
          <w:lang w:val="en-US" w:eastAsia="zh-CN"/>
          <w14:textFill>
            <w14:solidFill>
              <w14:schemeClr w14:val="tx1"/>
            </w14:solidFill>
          </w14:textFill>
        </w:rPr>
        <w:t>65.12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%。主要变动原因</w:t>
      </w:r>
      <w:r>
        <w:rPr>
          <w:rFonts w:hint="eastAsia" w:ascii="Times New Roman" w:hAnsi="Times New Roman" w:eastAsia="仿宋" w:cs="仿宋"/>
          <w:caps w:val="0"/>
          <w:color w:val="000000" w:themeColor="text1"/>
          <w:sz w:val="32"/>
          <w:szCs w:val="32"/>
          <w:lang w:eastAsia="zh-CN"/>
          <w14:textFill>
            <w14:solidFill>
              <w14:schemeClr w14:val="tx1"/>
            </w14:solidFill>
          </w14:textFill>
        </w:rPr>
        <w:t>一是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追加了党校迁建项目工程款部分尾款，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二是新增下达了省级干部教育培训机构质量提升专项资金，三是2025年对外合作培训班次人次较上年增加，收</w:t>
      </w:r>
      <w:r>
        <w:rPr>
          <w:rFonts w:hint="eastAsia" w:cs="Times New Roman"/>
          <w:color w:val="000000" w:themeColor="text1"/>
          <w:sz w:val="32"/>
          <w:szCs w:val="32"/>
          <w:lang w:val="en-US" w:eastAsia="zh-CN"/>
          <w14:textFill>
            <w14:solidFill>
              <w14:schemeClr w14:val="tx1"/>
            </w14:solidFill>
          </w14:textFill>
        </w:rPr>
        <w:t>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也较上年有所增加</w:t>
      </w:r>
      <w:r>
        <w:rPr>
          <w:rFonts w:hint="eastAsia" w:ascii="Times New Roman" w:hAnsi="Times New Roman" w:eastAsia="仿宋" w:cs="仿宋"/>
          <w:caps w:val="0"/>
          <w:color w:val="000000" w:themeColor="text1"/>
          <w:kern w:val="0"/>
          <w:sz w:val="32"/>
          <w:szCs w:val="32"/>
          <w14:textFill>
            <w14:solidFill>
              <w14:schemeClr w14:val="tx1"/>
            </w14:solidFill>
          </w14:textFill>
        </w:rPr>
        <w:t>。</w:t>
      </w:r>
    </w:p>
    <w:p>
      <w:pPr>
        <w:spacing w:line="600" w:lineRule="exact"/>
        <w:ind w:firstLine="5760" w:firstLineChars="1800"/>
        <w:rPr>
          <w:rFonts w:hint="eastAsia" w:ascii="Times New Roman" w:hAnsi="Times New Roman" w:eastAsia="仿宋"/>
          <w:b w:val="0"/>
          <w:bCs/>
          <w:caps w:val="0"/>
          <w:color w:val="000000" w:themeColor="text1"/>
          <w:sz w:val="32"/>
          <w:szCs w:val="32"/>
          <w:lang w:eastAsia="zh-CN"/>
          <w14:textFill>
            <w14:solidFill>
              <w14:schemeClr w14:val="tx1"/>
            </w14:solidFill>
          </w14:textFill>
        </w:rPr>
      </w:pPr>
      <w:r>
        <w:rPr>
          <w:rFonts w:hint="eastAsia" w:ascii="Times New Roman" w:hAnsi="Times New Roman" w:eastAsia="仿宋"/>
          <w:b w:val="0"/>
          <w:bCs/>
          <w:caps w:val="0"/>
          <w:color w:val="000000" w:themeColor="text1"/>
          <w:sz w:val="32"/>
          <w:szCs w:val="32"/>
          <w:lang w:eastAsia="zh-CN"/>
          <w14:textFill>
            <w14:solidFill>
              <w14:schemeClr w14:val="tx1"/>
            </w14:solidFill>
          </w14:textFill>
        </w:rPr>
        <w:t>单位：万元</w:t>
      </w:r>
    </w:p>
    <w:p>
      <w:pPr>
        <w:pStyle w:val="10"/>
        <w:jc w:val="both"/>
        <w:rPr>
          <w:rFonts w:hint="eastAsia" w:ascii="Times New Roman" w:hAnsi="Times New Roman" w:eastAsia="仿宋"/>
          <w:b/>
          <w:caps w:val="0"/>
          <w:color w:val="000000" w:themeColor="text1"/>
          <w:sz w:val="32"/>
          <w:szCs w:val="32"/>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233045</wp:posOffset>
            </wp:positionH>
            <wp:positionV relativeFrom="paragraph">
              <wp:posOffset>80645</wp:posOffset>
            </wp:positionV>
            <wp:extent cx="4572000" cy="1993900"/>
            <wp:effectExtent l="4445" t="4445" r="14605" b="20955"/>
            <wp:wrapNone/>
            <wp:docPr id="11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caps w:val="0"/>
          <w:color w:val="000000" w:themeColor="text1"/>
          <w:lang w:val="en-US" w:eastAsia="zh-CN"/>
          <w14:textFill>
            <w14:solidFill>
              <w14:schemeClr w14:val="tx1"/>
            </w14:solidFill>
          </w14:textFill>
        </w:rPr>
        <w:t xml:space="preserve"> </w:t>
      </w:r>
    </w:p>
    <w:p>
      <w:pPr>
        <w:spacing w:line="600" w:lineRule="exact"/>
        <w:jc w:val="center"/>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both"/>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both"/>
        <w:rPr>
          <w:rFonts w:hint="eastAsia" w:ascii="Times New Roman" w:hAnsi="Times New Roman" w:eastAsia="仿宋_GB2312" w:cs="仿宋_GB2312"/>
          <w:caps w:val="0"/>
          <w:color w:val="000000" w:themeColor="text1"/>
          <w:sz w:val="32"/>
          <w:szCs w:val="32"/>
          <w14:textFill>
            <w14:solidFill>
              <w14:schemeClr w14:val="tx1"/>
            </w14:solidFill>
          </w14:textFill>
        </w:rPr>
      </w:pPr>
    </w:p>
    <w:p>
      <w:pPr>
        <w:spacing w:line="600" w:lineRule="exact"/>
        <w:jc w:val="center"/>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（图5：一般公共预算财政拨款支出决算变动情况）</w:t>
      </w:r>
    </w:p>
    <w:p>
      <w:pPr>
        <w:spacing w:line="600" w:lineRule="exact"/>
        <w:ind w:firstLine="643" w:firstLineChars="200"/>
        <w:outlineLvl w:val="2"/>
        <w:rPr>
          <w:rFonts w:ascii="Times New Roman" w:hAnsi="Times New Roman" w:eastAsia="仿宋"/>
          <w:b/>
          <w:caps w:val="0"/>
          <w:color w:val="000000" w:themeColor="text1"/>
          <w:sz w:val="32"/>
          <w:szCs w:val="32"/>
          <w14:textFill>
            <w14:solidFill>
              <w14:schemeClr w14:val="tx1"/>
            </w14:solidFill>
          </w14:textFill>
        </w:rPr>
      </w:pPr>
      <w:bookmarkStart w:id="26" w:name="_Toc15377211"/>
      <w:r>
        <w:rPr>
          <w:rFonts w:hint="eastAsia" w:ascii="Times New Roman" w:hAnsi="Times New Roman" w:eastAsia="仿宋"/>
          <w:b/>
          <w:caps w:val="0"/>
          <w:color w:val="000000" w:themeColor="text1"/>
          <w:sz w:val="32"/>
          <w:szCs w:val="32"/>
          <w14:textFill>
            <w14:solidFill>
              <w14:schemeClr w14:val="tx1"/>
            </w14:solidFill>
          </w14:textFill>
        </w:rPr>
        <w:t>（二）一般公共预算财政拨款支出决算结构情况</w:t>
      </w:r>
      <w:bookmarkEnd w:id="26"/>
    </w:p>
    <w:p>
      <w:pPr>
        <w:spacing w:line="600" w:lineRule="exact"/>
        <w:ind w:firstLine="640"/>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pP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202</w:t>
      </w:r>
      <w:r>
        <w:rPr>
          <w:rFonts w:hint="eastAsia" w:cs="仿宋_GB2312"/>
          <w:b w:val="0"/>
          <w:bCs w:val="0"/>
          <w:caps w:val="0"/>
          <w:color w:val="000000" w:themeColor="text1"/>
          <w:sz w:val="32"/>
          <w:szCs w:val="32"/>
          <w:highlight w:val="none"/>
          <w:lang w:val="en-US" w:eastAsia="zh-CN"/>
          <w14:textFill>
            <w14:solidFill>
              <w14:schemeClr w14:val="tx1"/>
            </w14:solidFill>
          </w14:textFill>
        </w:rPr>
        <w:t>5</w:t>
      </w:r>
      <w:r>
        <w:rPr>
          <w:rFonts w:hint="eastAsia" w:cs="仿宋_GB2312"/>
          <w:b w:val="0"/>
          <w:bCs w:val="0"/>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一般公共预算财政拨款支出</w:t>
      </w:r>
      <w:r>
        <w:rPr>
          <w:rFonts w:hint="eastAsia" w:cs="仿宋_GB2312"/>
          <w:b w:val="0"/>
          <w:bCs w:val="0"/>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万元，主要用于以下方面:</w:t>
      </w:r>
      <w:r>
        <w:rPr>
          <w:rFonts w:hint="eastAsia" w:cs="仿宋_GB2312"/>
          <w:b w:val="0"/>
          <w:bCs w:val="0"/>
          <w:caps w:val="0"/>
          <w:color w:val="000000" w:themeColor="text1"/>
          <w:sz w:val="32"/>
          <w:szCs w:val="32"/>
          <w:highlight w:val="none"/>
          <w:lang w:eastAsia="zh-CN"/>
          <w14:textFill>
            <w14:solidFill>
              <w14:schemeClr w14:val="tx1"/>
            </w14:solidFill>
          </w14:textFill>
        </w:rPr>
        <w:t>一般公共服务支出</w:t>
      </w:r>
      <w:r>
        <w:rPr>
          <w:rFonts w:hint="eastAsia" w:cs="仿宋_GB2312"/>
          <w:b w:val="0"/>
          <w:bCs w:val="0"/>
          <w:caps w:val="0"/>
          <w:color w:val="000000" w:themeColor="text1"/>
          <w:sz w:val="32"/>
          <w:szCs w:val="32"/>
          <w:highlight w:val="none"/>
          <w:lang w:val="en-US" w:eastAsia="zh-CN"/>
          <w14:textFill>
            <w14:solidFill>
              <w14:schemeClr w14:val="tx1"/>
            </w14:solidFill>
          </w14:textFill>
        </w:rPr>
        <w:t>239.94万元，占7.18%；</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教育支出</w:t>
      </w:r>
      <w:r>
        <w:rPr>
          <w:rFonts w:hint="eastAsia" w:cs="仿宋_GB2312"/>
          <w:b w:val="0"/>
          <w:bCs w:val="0"/>
          <w:caps w:val="0"/>
          <w:color w:val="000000" w:themeColor="text1"/>
          <w:sz w:val="32"/>
          <w:szCs w:val="32"/>
          <w:highlight w:val="none"/>
          <w:lang w:val="en-US" w:eastAsia="zh-CN"/>
          <w14:textFill>
            <w14:solidFill>
              <w14:schemeClr w14:val="tx1"/>
            </w14:solidFill>
          </w14:textFill>
        </w:rPr>
        <w:t>2407.73</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72.0</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%；社会保障和就业支出</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4</w:t>
      </w:r>
      <w:r>
        <w:rPr>
          <w:rFonts w:hint="eastAsia" w:cs="仿宋_GB2312"/>
          <w:b w:val="0"/>
          <w:bCs w:val="0"/>
          <w:caps w:val="0"/>
          <w:color w:val="000000" w:themeColor="text1"/>
          <w:sz w:val="32"/>
          <w:szCs w:val="32"/>
          <w:highlight w:val="none"/>
          <w:lang w:val="en-US" w:eastAsia="zh-CN"/>
          <w14:textFill>
            <w14:solidFill>
              <w14:schemeClr w14:val="tx1"/>
            </w14:solidFill>
          </w14:textFill>
        </w:rPr>
        <w:t>98.64</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14.92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%；卫生健康支出</w:t>
      </w:r>
      <w:r>
        <w:rPr>
          <w:rFonts w:hint="eastAsia" w:cs="仿宋_GB2312"/>
          <w:b w:val="0"/>
          <w:bCs w:val="0"/>
          <w:caps w:val="0"/>
          <w:color w:val="000000" w:themeColor="text1"/>
          <w:sz w:val="32"/>
          <w:szCs w:val="32"/>
          <w:highlight w:val="none"/>
          <w:lang w:val="en-US" w:eastAsia="zh-CN"/>
          <w14:textFill>
            <w14:solidFill>
              <w14:schemeClr w14:val="tx1"/>
            </w14:solidFill>
          </w14:textFill>
        </w:rPr>
        <w:t>95.76</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2.86</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%；住房保障支出</w:t>
      </w:r>
      <w:r>
        <w:rPr>
          <w:rFonts w:hint="eastAsia" w:cs="仿宋_GB2312"/>
          <w:b w:val="0"/>
          <w:bCs w:val="0"/>
          <w:caps w:val="0"/>
          <w:color w:val="000000" w:themeColor="text1"/>
          <w:sz w:val="32"/>
          <w:szCs w:val="32"/>
          <w:highlight w:val="none"/>
          <w:lang w:val="en-US" w:eastAsia="zh-CN"/>
          <w14:textFill>
            <w14:solidFill>
              <w14:schemeClr w14:val="tx1"/>
            </w14:solidFill>
          </w14:textFill>
        </w:rPr>
        <w:t>101.13</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万元，占</w:t>
      </w:r>
      <w:r>
        <w:rPr>
          <w:rFonts w:hint="eastAsia" w:cs="仿宋_GB2312"/>
          <w:b w:val="0"/>
          <w:bCs w:val="0"/>
          <w:caps w:val="0"/>
          <w:color w:val="000000" w:themeColor="text1"/>
          <w:sz w:val="32"/>
          <w:szCs w:val="32"/>
          <w:highlight w:val="none"/>
          <w:lang w:val="en-US" w:eastAsia="zh-CN"/>
          <w14:textFill>
            <w14:solidFill>
              <w14:schemeClr w14:val="tx1"/>
            </w14:solidFill>
          </w14:textFill>
        </w:rPr>
        <w:t>3.02</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w:t>
      </w:r>
    </w:p>
    <w:p>
      <w:pPr>
        <w:spacing w:line="600" w:lineRule="exact"/>
        <w:ind w:firstLine="640"/>
        <w:rPr>
          <w:rFonts w:ascii="Times New Roman" w:hAnsi="Times New Roman" w:eastAsia="仿宋"/>
          <w:caps w:val="0"/>
          <w:color w:val="000000" w:themeColor="text1"/>
          <w:sz w:val="32"/>
          <w:szCs w:val="32"/>
          <w14:textFill>
            <w14:solidFill>
              <w14:schemeClr w14:val="tx1"/>
            </w14:solidFill>
          </w14:textFill>
        </w:rPr>
      </w:pPr>
    </w:p>
    <w:p>
      <w:pPr>
        <w:pStyle w:val="10"/>
        <w:rPr>
          <w:rFonts w:ascii="Times New Roman" w:hAnsi="Times New Roman" w:eastAsia="仿宋"/>
          <w:caps w:val="0"/>
          <w:color w:val="000000" w:themeColor="text1"/>
          <w:sz w:val="32"/>
          <w:szCs w:val="32"/>
          <w14:textFill>
            <w14:solidFill>
              <w14:schemeClr w14:val="tx1"/>
            </w14:solidFill>
          </w14:textFill>
        </w:rPr>
      </w:pPr>
      <w:r>
        <w:drawing>
          <wp:inline distT="0" distB="0" distL="114300" distR="114300">
            <wp:extent cx="4572635" cy="2054860"/>
            <wp:effectExtent l="4445" t="4445" r="13970" b="17145"/>
            <wp:docPr id="113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jc w:val="center"/>
        <w:rPr>
          <w:rFonts w:ascii="Times New Roman" w:hAnsi="Times New Roman" w:eastAsia="仿宋"/>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14:textFill>
            <w14:solidFill>
              <w14:schemeClr w14:val="tx1"/>
            </w14:solidFill>
          </w14:textFill>
        </w:rPr>
        <w:t>（图6：一般公共预算财政拨款支出决算结构）</w:t>
      </w:r>
    </w:p>
    <w:p>
      <w:pPr>
        <w:spacing w:line="600" w:lineRule="exact"/>
        <w:ind w:firstLine="643" w:firstLineChars="200"/>
        <w:outlineLvl w:val="2"/>
        <w:rPr>
          <w:rFonts w:ascii="Times New Roman" w:hAnsi="Times New Roman" w:eastAsia="仿宋"/>
          <w:b/>
          <w:caps w:val="0"/>
          <w:color w:val="000000" w:themeColor="text1"/>
          <w:sz w:val="32"/>
          <w:szCs w:val="32"/>
          <w14:textFill>
            <w14:solidFill>
              <w14:schemeClr w14:val="tx1"/>
            </w14:solidFill>
          </w14:textFill>
        </w:rPr>
      </w:pPr>
      <w:bookmarkStart w:id="27" w:name="_Toc15377212"/>
      <w:r>
        <w:rPr>
          <w:rFonts w:hint="eastAsia" w:ascii="Times New Roman" w:hAnsi="Times New Roman" w:eastAsia="仿宋"/>
          <w:b/>
          <w:caps w:val="0"/>
          <w:color w:val="000000" w:themeColor="text1"/>
          <w:sz w:val="32"/>
          <w:szCs w:val="32"/>
          <w14:textFill>
            <w14:solidFill>
              <w14:schemeClr w14:val="tx1"/>
            </w14:solidFill>
          </w14:textFill>
        </w:rPr>
        <w:t>（三）一般公共预算财政拨款支出决算具体情况</w:t>
      </w:r>
      <w:bookmarkEnd w:id="27"/>
    </w:p>
    <w:p>
      <w:pPr>
        <w:spacing w:line="600" w:lineRule="exact"/>
        <w:ind w:firstLine="640" w:firstLineChars="200"/>
        <w:outlineLvl w:val="2"/>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pPr>
      <w:bookmarkStart w:id="28" w:name="_Toc15378460"/>
      <w:bookmarkStart w:id="29" w:name="_Toc15377213"/>
      <w:bookmarkStart w:id="30" w:name="_Toc15377444"/>
      <w:r>
        <w:rPr>
          <w:rFonts w:hint="eastAsia" w:ascii="Times New Roman" w:hAnsi="Times New Roman" w:cs="仿宋_GB2312"/>
          <w:b w:val="0"/>
          <w:bCs/>
          <w:caps w:val="0"/>
          <w:color w:val="000000" w:themeColor="text1"/>
          <w:sz w:val="32"/>
          <w:szCs w:val="32"/>
          <w:highlight w:val="none"/>
          <w:lang w:eastAsia="zh-CN"/>
          <w14:textFill>
            <w14:solidFill>
              <w14:schemeClr w14:val="tx1"/>
            </w14:solidFill>
          </w14:textFill>
        </w:rPr>
        <w:t>202</w:t>
      </w:r>
      <w:r>
        <w:rPr>
          <w:rFonts w:hint="eastAsia" w:cs="仿宋_GB2312"/>
          <w:b w:val="0"/>
          <w:bCs/>
          <w:caps w:val="0"/>
          <w:color w:val="000000" w:themeColor="text1"/>
          <w:sz w:val="32"/>
          <w:szCs w:val="32"/>
          <w:highlight w:val="none"/>
          <w:lang w:val="en-US" w:eastAsia="zh-CN"/>
          <w14:textFill>
            <w14:solidFill>
              <w14:schemeClr w14:val="tx1"/>
            </w14:solidFill>
          </w14:textFill>
        </w:rPr>
        <w:t>5</w:t>
      </w:r>
      <w:r>
        <w:rPr>
          <w:rFonts w:hint="eastAsia" w:cs="仿宋_GB2312"/>
          <w:b w:val="0"/>
          <w:bCs/>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b w:val="0"/>
          <w:bCs/>
          <w:caps w:val="0"/>
          <w:color w:val="000000" w:themeColor="text1"/>
          <w:sz w:val="32"/>
          <w:szCs w:val="32"/>
          <w:highlight w:val="none"/>
          <w:lang w:eastAsia="zh-CN"/>
          <w14:textFill>
            <w14:solidFill>
              <w14:schemeClr w14:val="tx1"/>
            </w14:solidFill>
          </w14:textFill>
        </w:rPr>
        <w:t>一</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般公共预算</w:t>
      </w:r>
      <w:r>
        <w:rPr>
          <w:rFonts w:hint="eastAsia" w:cs="仿宋_GB2312"/>
          <w:b w:val="0"/>
          <w:bCs/>
          <w:caps w:val="0"/>
          <w:color w:val="000000" w:themeColor="text1"/>
          <w:sz w:val="32"/>
          <w:szCs w:val="32"/>
          <w:highlight w:val="none"/>
          <w:lang w:eastAsia="zh-CN"/>
          <w14:textFill>
            <w14:solidFill>
              <w14:schemeClr w14:val="tx1"/>
            </w14:solidFill>
          </w14:textFill>
        </w:rPr>
        <w:t>财政拨款</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支出决算数为</w:t>
      </w:r>
      <w:r>
        <w:rPr>
          <w:rFonts w:hint="eastAsia" w:cs="仿宋_GB2312"/>
          <w:b w:val="0"/>
          <w:bCs/>
          <w:caps w:val="0"/>
          <w:color w:val="000000" w:themeColor="text1"/>
          <w:sz w:val="32"/>
          <w:szCs w:val="32"/>
          <w:highlight w:val="none"/>
          <w:lang w:val="en-US" w:eastAsia="zh-CN"/>
          <w14:textFill>
            <w14:solidFill>
              <w14:schemeClr w14:val="tx1"/>
            </w14:solidFill>
          </w14:textFill>
        </w:rPr>
        <w:t>3343.2</w:t>
      </w:r>
      <w:r>
        <w:rPr>
          <w:rFonts w:hint="eastAsia" w:ascii="Times New Roman" w:hAnsi="Times New Roman" w:cs="仿宋_GB2312"/>
          <w:b w:val="0"/>
          <w:bCs/>
          <w:caps w:val="0"/>
          <w:color w:val="000000" w:themeColor="text1"/>
          <w:sz w:val="32"/>
          <w:szCs w:val="32"/>
          <w:highlight w:val="none"/>
          <w:lang w:val="en-US" w:eastAsia="zh-CN"/>
          <w14:textFill>
            <w14:solidFill>
              <w14:schemeClr w14:val="tx1"/>
            </w14:solidFill>
          </w14:textFill>
        </w:rPr>
        <w:t>万元</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w:t>
      </w:r>
      <w:r>
        <w:rPr>
          <w:rStyle w:val="21"/>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完成预算</w:t>
      </w:r>
      <w:r>
        <w:rPr>
          <w:rStyle w:val="21"/>
          <w:rFonts w:hint="eastAsia" w:ascii="Times New Roman" w:hAnsi="Times New Roman" w:cs="仿宋_GB2312"/>
          <w:b w:val="0"/>
          <w:bCs/>
          <w:caps w:val="0"/>
          <w:color w:val="000000" w:themeColor="text1"/>
          <w:sz w:val="32"/>
          <w:szCs w:val="32"/>
          <w:highlight w:val="none"/>
          <w:lang w:val="en-US" w:eastAsia="zh-CN"/>
          <w14:textFill>
            <w14:solidFill>
              <w14:schemeClr w14:val="tx1"/>
            </w14:solidFill>
          </w14:textFill>
        </w:rPr>
        <w:t>100</w:t>
      </w:r>
      <w:r>
        <w:rPr>
          <w:rStyle w:val="21"/>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%。其中：</w:t>
      </w:r>
      <w:bookmarkEnd w:id="28"/>
      <w:bookmarkEnd w:id="29"/>
      <w:bookmarkEnd w:id="30"/>
    </w:p>
    <w:p>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一般公共服务（类）</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组织事务</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其他组织事务</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239.94</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ascii="Times New Roman" w:hAnsi="Times New Roman"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Style w:val="21"/>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与</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预算数</w:t>
      </w:r>
      <w:r>
        <w:rPr>
          <w:rStyle w:val="21"/>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持平。</w:t>
      </w:r>
    </w:p>
    <w:p>
      <w:pPr>
        <w:spacing w:line="600" w:lineRule="exact"/>
        <w:ind w:firstLine="640" w:firstLineChars="200"/>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pPr>
      <w:r>
        <w:rPr>
          <w:rStyle w:val="21"/>
          <w:rFonts w:hint="eastAsia" w:cs="仿宋_GB2312"/>
          <w:b w:val="0"/>
          <w:bCs w:val="0"/>
          <w:caps w:val="0"/>
          <w:color w:val="000000" w:themeColor="text1"/>
          <w:sz w:val="32"/>
          <w:szCs w:val="32"/>
          <w:highlight w:val="none"/>
          <w:lang w:val="en-US" w:eastAsia="zh-CN"/>
          <w14:textFill>
            <w14:solidFill>
              <w14:schemeClr w14:val="tx1"/>
            </w14:solidFill>
          </w14:textFill>
        </w:rPr>
        <w:t>2</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.教育（类）</w:t>
      </w:r>
      <w:r>
        <w:rPr>
          <w:rStyle w:val="21"/>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进修及培训</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w:t>
      </w:r>
      <w:r>
        <w:rPr>
          <w:rStyle w:val="21"/>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干部教育</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（项）:支出决算为</w:t>
      </w:r>
      <w:r>
        <w:rPr>
          <w:rStyle w:val="21"/>
          <w:rFonts w:hint="eastAsia" w:cs="仿宋_GB2312"/>
          <w:b w:val="0"/>
          <w:bCs w:val="0"/>
          <w:caps w:val="0"/>
          <w:color w:val="000000" w:themeColor="text1"/>
          <w:sz w:val="32"/>
          <w:szCs w:val="32"/>
          <w:highlight w:val="none"/>
          <w:lang w:val="en-US" w:eastAsia="zh-CN"/>
          <w14:textFill>
            <w14:solidFill>
              <w14:schemeClr w14:val="tx1"/>
            </w14:solidFill>
          </w14:textFill>
        </w:rPr>
        <w:t>2407.73</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万元，完成预算</w:t>
      </w:r>
      <w:r>
        <w:rPr>
          <w:rStyle w:val="21"/>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100</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w:t>
      </w:r>
      <w:r>
        <w:rPr>
          <w:rStyle w:val="21"/>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与</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预算数</w:t>
      </w:r>
      <w:r>
        <w:rPr>
          <w:rStyle w:val="21"/>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持平</w:t>
      </w:r>
      <w:r>
        <w:rPr>
          <w:rStyle w:val="21"/>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.社会保障和就业（类）行政事业单位养老（款）事业单位离退休（项）: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251.82</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社会保障和就业（类）行政事业单位</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养老</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（款）机关事业单位基本养老保险缴费（项）: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116.88</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社会保障和就业（类）行政事业单位</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养老</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（款）机关事业单位</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职业年金</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缴费（项）: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51.66</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Fonts w:hint="eastAsia" w:ascii="Times New Roman" w:hAnsi="Times New Roman" w:eastAsia="仿宋"/>
          <w:b w:val="0"/>
          <w:bCs w:val="0"/>
          <w:caps w:val="0"/>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6</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社会保障和就业（类）</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抚恤</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（款）</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死亡抚恤</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78.28</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Fonts w:hint="eastAsia" w:ascii="Times New Roman" w:hAnsi="Times New Roman" w:eastAsia="仿宋"/>
          <w:b w:val="0"/>
          <w:bCs w:val="0"/>
          <w:caps w:val="0"/>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Style w:val="21"/>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卫生健康（类）行政事业单位医疗（款）事业</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单位</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医疗（项）: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eastAsia="仿宋"/>
          <w:b w:val="0"/>
          <w:bCs w:val="0"/>
          <w:caps w:val="0"/>
          <w:color w:val="000000" w:themeColor="text1"/>
          <w:sz w:val="32"/>
          <w:szCs w:val="32"/>
          <w:lang w:val="en-US" w:eastAsia="zh-CN"/>
          <w14:textFill>
            <w14:solidFill>
              <w14:schemeClr w14:val="tx1"/>
            </w14:solidFill>
          </w14:textFill>
        </w:rPr>
        <w:t>73.56</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hint="eastAsia"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8</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卫生健康（类）行政事业单位医疗（款）</w:t>
      </w:r>
      <w:r>
        <w:rPr>
          <w:rFonts w:hint="eastAsia" w:ascii="Times New Roman" w:hAnsi="Times New Roman" w:eastAsia="仿宋_GB2312" w:cs="仿宋_GB2312"/>
          <w:b w:val="0"/>
          <w:bCs w:val="0"/>
          <w:caps w:val="0"/>
          <w:color w:val="000000" w:themeColor="text1"/>
          <w:sz w:val="32"/>
          <w:szCs w:val="32"/>
          <w:highlight w:val="none"/>
          <w:lang w:eastAsia="zh-CN"/>
          <w14:textFill>
            <w14:solidFill>
              <w14:schemeClr w14:val="tx1"/>
            </w14:solidFill>
          </w14:textFill>
        </w:rPr>
        <w:t>公务员医疗补助</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（项）:</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ascii="Times New Roman" w:hAnsi="Times New Roman" w:eastAsia="仿宋"/>
          <w:b w:val="0"/>
          <w:bCs w:val="0"/>
          <w:caps w:val="0"/>
          <w:color w:val="000000" w:themeColor="text1"/>
          <w:sz w:val="32"/>
          <w:szCs w:val="32"/>
          <w:lang w:val="en-US" w:eastAsia="zh-CN"/>
          <w14:textFill>
            <w14:solidFill>
              <w14:schemeClr w14:val="tx1"/>
            </w14:solidFill>
          </w14:textFill>
        </w:rPr>
        <w:t>22.2</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92" w:lineRule="exact"/>
        <w:ind w:firstLine="641"/>
        <w:textAlignment w:val="auto"/>
        <w:rPr>
          <w:rFonts w:ascii="Times New Roman" w:hAnsi="Times New Roman" w:eastAsia="仿宋"/>
          <w:b w:val="0"/>
          <w:bCs w:val="0"/>
          <w:caps w:val="0"/>
          <w:color w:val="000000" w:themeColor="text1"/>
          <w:sz w:val="32"/>
          <w:szCs w:val="32"/>
          <w14:textFill>
            <w14:solidFill>
              <w14:schemeClr w14:val="tx1"/>
            </w14:solidFill>
          </w14:textFill>
        </w:rPr>
      </w:pPr>
      <w:r>
        <w:rPr>
          <w:rFonts w:hint="eastAsia" w:cs="仿宋_GB2312"/>
          <w:b w:val="0"/>
          <w:bCs w:val="0"/>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仿宋_GB2312"/>
          <w:b w:val="0"/>
          <w:bCs w:val="0"/>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 xml:space="preserve">住房保障（类）住房改革（款）住房公积金（项）: </w:t>
      </w:r>
      <w:r>
        <w:rPr>
          <w:rFonts w:hint="eastAsia" w:ascii="Times New Roman" w:hAnsi="Times New Roman" w:eastAsia="仿宋"/>
          <w:b w:val="0"/>
          <w:bCs w:val="0"/>
          <w:caps w:val="0"/>
          <w:color w:val="000000" w:themeColor="text1"/>
          <w:sz w:val="32"/>
          <w:szCs w:val="32"/>
          <w14:textFill>
            <w14:solidFill>
              <w14:schemeClr w14:val="tx1"/>
            </w14:solidFill>
          </w14:textFill>
        </w:rPr>
        <w:t>支出决算为</w:t>
      </w:r>
      <w:r>
        <w:rPr>
          <w:rFonts w:hint="eastAsia" w:ascii="Times New Roman" w:hAnsi="Times New Roman" w:eastAsia="仿宋"/>
          <w:b w:val="0"/>
          <w:bCs w:val="0"/>
          <w:caps w:val="0"/>
          <w:color w:val="000000" w:themeColor="text1"/>
          <w:sz w:val="32"/>
          <w:szCs w:val="32"/>
          <w:lang w:val="en-US" w:eastAsia="zh-CN"/>
          <w14:textFill>
            <w14:solidFill>
              <w14:schemeClr w14:val="tx1"/>
            </w14:solidFill>
          </w14:textFill>
        </w:rPr>
        <w:t>10</w:t>
      </w:r>
      <w:r>
        <w:rPr>
          <w:rFonts w:hint="eastAsia" w:eastAsia="仿宋"/>
          <w:b w:val="0"/>
          <w:bCs w:val="0"/>
          <w:caps w:val="0"/>
          <w:color w:val="000000" w:themeColor="text1"/>
          <w:sz w:val="32"/>
          <w:szCs w:val="32"/>
          <w:lang w:val="en-US" w:eastAsia="zh-CN"/>
          <w14:textFill>
            <w14:solidFill>
              <w14:schemeClr w14:val="tx1"/>
            </w14:solidFill>
          </w14:textFill>
        </w:rPr>
        <w:t>1.13</w:t>
      </w:r>
      <w:r>
        <w:rPr>
          <w:rFonts w:hint="eastAsia" w:ascii="Times New Roman" w:hAnsi="Times New Roman" w:eastAsia="仿宋"/>
          <w:b w:val="0"/>
          <w:bCs w:val="0"/>
          <w:caps w:val="0"/>
          <w:color w:val="000000" w:themeColor="text1"/>
          <w:sz w:val="32"/>
          <w:szCs w:val="32"/>
          <w14:textFill>
            <w14:solidFill>
              <w14:schemeClr w14:val="tx1"/>
            </w14:solidFill>
          </w14:textFill>
        </w:rPr>
        <w:t>万元，完成预算100%</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r>
        <w:rPr>
          <w:rStyle w:val="21"/>
          <w:rFonts w:hint="eastAsia" w:ascii="Times New Roman" w:hAnsi="Times New Roman" w:eastAsia="仿宋"/>
          <w:b w:val="0"/>
          <w:bCs w:val="0"/>
          <w:caps w:val="0"/>
          <w:color w:val="000000" w:themeColor="text1"/>
          <w:sz w:val="32"/>
          <w:szCs w:val="32"/>
          <w:lang w:eastAsia="zh-CN"/>
          <w14:textFill>
            <w14:solidFill>
              <w14:schemeClr w14:val="tx1"/>
            </w14:solidFill>
          </w14:textFill>
        </w:rPr>
        <w:t>与预算数持平</w:t>
      </w:r>
      <w:r>
        <w:rPr>
          <w:rStyle w:val="21"/>
          <w:rFonts w:hint="eastAsia" w:ascii="Times New Roman" w:hAnsi="Times New Roman" w:eastAsia="仿宋"/>
          <w:b w:val="0"/>
          <w:bCs w:val="0"/>
          <w:caps w:val="0"/>
          <w:color w:val="000000" w:themeColor="text1"/>
          <w:sz w:val="32"/>
          <w:szCs w:val="32"/>
          <w14:textFill>
            <w14:solidFill>
              <w14:schemeClr w14:val="tx1"/>
            </w14:solidFill>
          </w14:textFill>
        </w:rPr>
        <w:t>。</w:t>
      </w:r>
    </w:p>
    <w:p>
      <w:pPr>
        <w:tabs>
          <w:tab w:val="right" w:pos="8306"/>
        </w:tabs>
        <w:spacing w:line="600" w:lineRule="exact"/>
        <w:ind w:firstLine="640"/>
        <w:outlineLvl w:val="1"/>
        <w:rPr>
          <w:rStyle w:val="24"/>
          <w:rFonts w:ascii="Times New Roman" w:hAnsi="Times New Roman"/>
          <w:caps w:val="0"/>
          <w:color w:val="000000" w:themeColor="text1"/>
          <w14:textFill>
            <w14:solidFill>
              <w14:schemeClr w14:val="tx1"/>
            </w14:solidFill>
          </w14:textFill>
        </w:rPr>
      </w:pPr>
      <w:bookmarkStart w:id="31" w:name="_Toc31388"/>
      <w:bookmarkStart w:id="32" w:name="_Toc15396608"/>
      <w:bookmarkStart w:id="33" w:name="_Toc15377214"/>
      <w:r>
        <w:rPr>
          <w:rFonts w:hint="eastAsia" w:ascii="Times New Roman" w:hAnsi="Times New Roman" w:eastAsia="黑体"/>
          <w:caps w:val="0"/>
          <w:color w:val="000000" w:themeColor="text1"/>
          <w:sz w:val="32"/>
          <w:szCs w:val="32"/>
          <w14:textFill>
            <w14:solidFill>
              <w14:schemeClr w14:val="tx1"/>
            </w14:solidFill>
          </w14:textFill>
        </w:rPr>
        <w:t>六</w:t>
      </w:r>
      <w:r>
        <w:rPr>
          <w:rFonts w:hint="eastAsia" w:ascii="Times New Roman" w:hAnsi="Times New Roman" w:eastAsia="黑体"/>
          <w:b/>
          <w:caps w:val="0"/>
          <w:color w:val="000000" w:themeColor="text1"/>
          <w:sz w:val="32"/>
          <w:szCs w:val="32"/>
          <w14:textFill>
            <w14:solidFill>
              <w14:schemeClr w14:val="tx1"/>
            </w14:solidFill>
          </w14:textFill>
        </w:rPr>
        <w:t>、一</w:t>
      </w:r>
      <w:r>
        <w:rPr>
          <w:rStyle w:val="24"/>
          <w:rFonts w:hint="eastAsia" w:ascii="Times New Roman" w:hAnsi="Times New Roman" w:eastAsia="黑体"/>
          <w:b w:val="0"/>
          <w:caps w:val="0"/>
          <w:color w:val="000000" w:themeColor="text1"/>
          <w14:textFill>
            <w14:solidFill>
              <w14:schemeClr w14:val="tx1"/>
            </w14:solidFill>
          </w14:textFill>
        </w:rPr>
        <w:t>般公共预算财政拨款基本支出决算情况说明</w:t>
      </w:r>
      <w:bookmarkEnd w:id="31"/>
      <w:bookmarkEnd w:id="32"/>
      <w:bookmarkEnd w:id="33"/>
      <w:r>
        <w:rPr>
          <w:rStyle w:val="24"/>
          <w:rFonts w:ascii="Times New Roman" w:hAnsi="Times New Roman" w:eastAsia="黑体"/>
          <w:b w:val="0"/>
          <w:caps w:val="0"/>
          <w:color w:val="000000" w:themeColor="text1"/>
          <w14:textFill>
            <w14:solidFill>
              <w14:schemeClr w14:val="tx1"/>
            </w14:solidFill>
          </w14:textFill>
        </w:rPr>
        <w:tab/>
      </w:r>
    </w:p>
    <w:p>
      <w:pPr>
        <w:spacing w:line="600" w:lineRule="exact"/>
        <w:ind w:firstLine="645"/>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一般公共预算财政拨款基本支出</w:t>
      </w:r>
      <w:r>
        <w:rPr>
          <w:rFonts w:hint="eastAsia" w:cs="仿宋_GB2312"/>
          <w:caps w:val="0"/>
          <w:color w:val="000000" w:themeColor="text1"/>
          <w:sz w:val="32"/>
          <w:szCs w:val="32"/>
          <w:highlight w:val="none"/>
          <w:lang w:val="en-US" w:eastAsia="zh-CN"/>
          <w14:textFill>
            <w14:solidFill>
              <w14:schemeClr w14:val="tx1"/>
            </w14:solidFill>
          </w14:textFill>
        </w:rPr>
        <w:t>1860.23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w:t>
      </w:r>
    </w:p>
    <w:p>
      <w:pPr>
        <w:spacing w:line="600" w:lineRule="exact"/>
        <w:ind w:firstLine="645"/>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人员经费</w:t>
      </w:r>
      <w:r>
        <w:rPr>
          <w:rFonts w:hint="eastAsia" w:cs="仿宋_GB2312"/>
          <w:caps w:val="0"/>
          <w:color w:val="000000" w:themeColor="text1"/>
          <w:sz w:val="32"/>
          <w:szCs w:val="32"/>
          <w:highlight w:val="none"/>
          <w:lang w:val="en-US" w:eastAsia="zh-CN"/>
          <w14:textFill>
            <w14:solidFill>
              <w14:schemeClr w14:val="tx1"/>
            </w14:solidFill>
          </w14:textFill>
        </w:rPr>
        <w:t>1665.03</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万元，主要包括：基本工资、津贴补贴、奖金、绩效工资、机关事业单位基本养老保险缴费、职业年金缴费、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职工基本医疗保险缴费、公务员医疗补助缴费、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其他社会保障缴费、住房公积金、其他工资福利支出、</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抚恤金</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、其他对个人和家庭的补助支出等。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br w:type="textWrapping"/>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　　公用经费</w:t>
      </w:r>
      <w:r>
        <w:rPr>
          <w:rFonts w:hint="eastAsia" w:cs="仿宋_GB2312"/>
          <w:caps w:val="0"/>
          <w:color w:val="000000" w:themeColor="text1"/>
          <w:sz w:val="32"/>
          <w:szCs w:val="32"/>
          <w:highlight w:val="none"/>
          <w:lang w:val="en-US" w:eastAsia="zh-CN"/>
          <w14:textFill>
            <w14:solidFill>
              <w14:schemeClr w14:val="tx1"/>
            </w14:solidFill>
          </w14:textFill>
        </w:rPr>
        <w:t>195.2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万元，主要包括：办公费、印刷费、水费、电费、邮电费、物业管理费、差旅费、维修（护）费、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租赁费、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培训费、公务接待费、劳务费、委托业务费、工会经费、福利费、公务用车运行维护费、其他交通费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用</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、其他商品和服务支出等。</w:t>
      </w:r>
    </w:p>
    <w:p>
      <w:pPr>
        <w:spacing w:line="600" w:lineRule="exact"/>
        <w:ind w:firstLine="640"/>
        <w:outlineLvl w:val="1"/>
        <w:rPr>
          <w:rStyle w:val="24"/>
          <w:rFonts w:ascii="Times New Roman" w:hAnsi="Times New Roman" w:eastAsia="黑体"/>
          <w:b w:val="0"/>
          <w:caps w:val="0"/>
          <w:color w:val="000000" w:themeColor="text1"/>
          <w14:textFill>
            <w14:solidFill>
              <w14:schemeClr w14:val="tx1"/>
            </w14:solidFill>
          </w14:textFill>
        </w:rPr>
      </w:pPr>
      <w:bookmarkStart w:id="34" w:name="_Toc19233"/>
      <w:bookmarkStart w:id="35" w:name="_Toc15377215"/>
      <w:bookmarkStart w:id="36" w:name="_Toc15396609"/>
      <w:r>
        <w:rPr>
          <w:rFonts w:hint="eastAsia" w:ascii="Times New Roman" w:hAnsi="Times New Roman" w:eastAsia="黑体"/>
          <w:caps w:val="0"/>
          <w:color w:val="000000" w:themeColor="text1"/>
          <w:sz w:val="32"/>
          <w:szCs w:val="32"/>
          <w14:textFill>
            <w14:solidFill>
              <w14:schemeClr w14:val="tx1"/>
            </w14:solidFill>
          </w14:textFill>
        </w:rPr>
        <w:t>七、</w:t>
      </w:r>
      <w:r>
        <w:rPr>
          <w:rStyle w:val="24"/>
          <w:rFonts w:hint="eastAsia" w:ascii="Times New Roman" w:hAnsi="Times New Roman" w:eastAsia="黑体"/>
          <w:b w:val="0"/>
          <w:caps w:val="0"/>
          <w:color w:val="000000" w:themeColor="text1"/>
          <w14:textFill>
            <w14:solidFill>
              <w14:schemeClr w14:val="tx1"/>
            </w14:solidFill>
          </w14:textFill>
        </w:rPr>
        <w:t>财政拨款</w:t>
      </w:r>
      <w:r>
        <w:rPr>
          <w:rStyle w:val="24"/>
          <w:rFonts w:hint="eastAsia" w:ascii="Times New Roman" w:hAnsi="Times New Roman" w:eastAsia="黑体"/>
          <w:caps w:val="0"/>
          <w:color w:val="000000" w:themeColor="text1"/>
          <w14:textFill>
            <w14:solidFill>
              <w14:schemeClr w14:val="tx1"/>
            </w14:solidFill>
          </w14:textFill>
        </w:rPr>
        <w:t>“</w:t>
      </w:r>
      <w:r>
        <w:rPr>
          <w:rStyle w:val="24"/>
          <w:rFonts w:hint="eastAsia" w:ascii="Times New Roman" w:hAnsi="Times New Roman" w:eastAsia="黑体"/>
          <w:b w:val="0"/>
          <w:caps w:val="0"/>
          <w:color w:val="000000" w:themeColor="text1"/>
          <w14:textFill>
            <w14:solidFill>
              <w14:schemeClr w14:val="tx1"/>
            </w14:solidFill>
          </w14:textFill>
        </w:rPr>
        <w:t>三公”经费支出决算情况说明</w:t>
      </w:r>
      <w:bookmarkEnd w:id="34"/>
      <w:bookmarkEnd w:id="35"/>
      <w:bookmarkEnd w:id="36"/>
    </w:p>
    <w:p>
      <w:pPr>
        <w:spacing w:line="600" w:lineRule="exact"/>
        <w:ind w:firstLine="640"/>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37" w:name="_Toc15377216"/>
      <w:r>
        <w:rPr>
          <w:rFonts w:hint="eastAsia" w:ascii="Times New Roman" w:hAnsi="Times New Roman" w:eastAsia="仿宋_GB2312" w:cs="仿宋_GB2312"/>
          <w:b/>
          <w:caps w:val="0"/>
          <w:color w:val="000000" w:themeColor="text1"/>
          <w:sz w:val="32"/>
          <w:szCs w:val="32"/>
          <w14:textFill>
            <w14:solidFill>
              <w14:schemeClr w14:val="tx1"/>
            </w14:solidFill>
          </w14:textFill>
        </w:rPr>
        <w:t>（一）财政拨款“三公”经费支出决算总体情况说明</w:t>
      </w:r>
      <w:bookmarkEnd w:id="37"/>
    </w:p>
    <w:p>
      <w:pPr>
        <w:spacing w:line="600" w:lineRule="exact"/>
        <w:ind w:firstLine="640"/>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财政拨款“三公”经费支出决算为</w:t>
      </w:r>
      <w:r>
        <w:rPr>
          <w:rFonts w:hint="eastAsia" w:cs="仿宋_GB2312"/>
          <w:caps w:val="0"/>
          <w:color w:val="000000" w:themeColor="text1"/>
          <w:sz w:val="32"/>
          <w:szCs w:val="32"/>
          <w:highlight w:val="none"/>
          <w:lang w:val="en-US" w:eastAsia="zh-CN"/>
          <w14:textFill>
            <w14:solidFill>
              <w14:schemeClr w14:val="tx1"/>
            </w14:solidFill>
          </w14:textFill>
        </w:rPr>
        <w:t>2.92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万元，完成预算</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较上年</w:t>
      </w:r>
      <w:r>
        <w:rPr>
          <w:rFonts w:hint="eastAsia" w:cs="仿宋_GB2312"/>
          <w:caps w:val="0"/>
          <w:color w:val="000000" w:themeColor="text1"/>
          <w:sz w:val="32"/>
          <w:szCs w:val="32"/>
          <w:highlight w:val="none"/>
          <w:lang w:eastAsia="zh-CN"/>
          <w14:textFill>
            <w14:solidFill>
              <w14:schemeClr w14:val="tx1"/>
            </w14:solidFill>
          </w14:textFill>
        </w:rPr>
        <w:t>度</w:t>
      </w:r>
      <w:r>
        <w:rPr>
          <w:rFonts w:hint="eastAsia" w:cs="仿宋_GB2312"/>
          <w:caps w:val="0"/>
          <w:color w:val="000000" w:themeColor="text1"/>
          <w:sz w:val="32"/>
          <w:szCs w:val="32"/>
          <w:highlight w:val="none"/>
          <w:lang w:val="en-US" w:eastAsia="zh-CN"/>
          <w14:textFill>
            <w14:solidFill>
              <w14:schemeClr w14:val="tx1"/>
            </w14:solidFill>
          </w14:textFill>
        </w:rPr>
        <w:t>增加0.14</w:t>
      </w:r>
      <w:r>
        <w:rPr>
          <w:rFonts w:hint="eastAsia" w:ascii="Times New Roman" w:hAnsi="Times New Roman" w:eastAsia="仿宋_GB2312" w:cs="仿宋_GB2312"/>
          <w:caps w:val="0"/>
          <w:color w:val="000000" w:themeColor="text1"/>
          <w:sz w:val="32"/>
          <w:szCs w:val="32"/>
          <w:highlight w:val="none"/>
          <w:lang w:val="en-US" w:eastAsia="zh-CN"/>
          <w14:textFill>
            <w14:solidFill>
              <w14:schemeClr w14:val="tx1"/>
            </w14:solidFill>
          </w14:textFill>
        </w:rPr>
        <w:t>万元，</w:t>
      </w:r>
      <w:r>
        <w:rPr>
          <w:rFonts w:hint="eastAsia" w:cs="仿宋_GB2312"/>
          <w:caps w:val="0"/>
          <w:color w:val="000000" w:themeColor="text1"/>
          <w:sz w:val="32"/>
          <w:szCs w:val="32"/>
          <w:highlight w:val="none"/>
          <w:lang w:val="en-US" w:eastAsia="zh-CN"/>
          <w14:textFill>
            <w14:solidFill>
              <w14:schemeClr w14:val="tx1"/>
            </w14:solidFill>
          </w14:textFill>
        </w:rPr>
        <w:t>增长5.04</w:t>
      </w:r>
      <w:r>
        <w:rPr>
          <w:rFonts w:hint="eastAsia" w:ascii="Times New Roman" w:hAnsi="Times New Roman" w:eastAsia="仿宋_GB2312" w:cs="仿宋_GB2312"/>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决算数与预算数持平。</w:t>
      </w:r>
    </w:p>
    <w:p>
      <w:pPr>
        <w:spacing w:line="600" w:lineRule="exact"/>
        <w:ind w:firstLine="640"/>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38" w:name="_Toc15377217"/>
      <w:r>
        <w:rPr>
          <w:rFonts w:hint="eastAsia" w:ascii="Times New Roman" w:hAnsi="Times New Roman" w:eastAsia="仿宋_GB2312" w:cs="仿宋_GB2312"/>
          <w:b/>
          <w:caps w:val="0"/>
          <w:color w:val="000000" w:themeColor="text1"/>
          <w:sz w:val="32"/>
          <w:szCs w:val="32"/>
          <w14:textFill>
            <w14:solidFill>
              <w14:schemeClr w14:val="tx1"/>
            </w14:solidFill>
          </w14:textFill>
        </w:rPr>
        <w:t>（二）财政拨款“三公”经费支出决算具体情况说明</w:t>
      </w:r>
      <w:bookmarkEnd w:id="38"/>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财政拨款“三公”经费支出决算中，因公出国（境）费支出决算</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%；公务用车购置及运行维护费支出决算</w:t>
      </w:r>
      <w:r>
        <w:rPr>
          <w:rFonts w:hint="eastAsia" w:cs="仿宋_GB2312"/>
          <w:caps w:val="0"/>
          <w:color w:val="000000" w:themeColor="text1"/>
          <w:sz w:val="32"/>
          <w:szCs w:val="32"/>
          <w:highlight w:val="none"/>
          <w:lang w:val="en-US" w:eastAsia="zh-CN"/>
          <w14:textFill>
            <w14:solidFill>
              <w14:schemeClr w14:val="tx1"/>
            </w14:solidFill>
          </w14:textFill>
        </w:rPr>
        <w:t>1.98</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6</w:t>
      </w:r>
      <w:r>
        <w:rPr>
          <w:rFonts w:hint="eastAsia" w:cs="仿宋_GB2312"/>
          <w:caps w:val="0"/>
          <w:color w:val="000000" w:themeColor="text1"/>
          <w:sz w:val="32"/>
          <w:szCs w:val="32"/>
          <w:highlight w:val="none"/>
          <w:lang w:val="en-US" w:eastAsia="zh-CN"/>
          <w14:textFill>
            <w14:solidFill>
              <w14:schemeClr w14:val="tx1"/>
            </w14:solidFill>
          </w14:textFill>
        </w:rPr>
        <w:t>7.81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%；公务接待费支出决算</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0.9</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w:t>
      </w:r>
      <w:r>
        <w:rPr>
          <w:rFonts w:hint="eastAsia" w:cs="仿宋_GB2312"/>
          <w:caps w:val="0"/>
          <w:color w:val="000000" w:themeColor="text1"/>
          <w:sz w:val="32"/>
          <w:szCs w:val="32"/>
          <w:highlight w:val="none"/>
          <w:lang w:val="en-US" w:eastAsia="zh-CN"/>
          <w14:textFill>
            <w14:solidFill>
              <w14:schemeClr w14:val="tx1"/>
            </w14:solidFill>
          </w14:textFill>
        </w:rPr>
        <w:t>32.19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%。具体情况如下：</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drawing>
          <wp:anchor distT="0" distB="0" distL="114300" distR="114300" simplePos="0" relativeHeight="251663360" behindDoc="0" locked="0" layoutInCell="1" allowOverlap="1">
            <wp:simplePos x="0" y="0"/>
            <wp:positionH relativeFrom="column">
              <wp:posOffset>429895</wp:posOffset>
            </wp:positionH>
            <wp:positionV relativeFrom="paragraph">
              <wp:posOffset>213995</wp:posOffset>
            </wp:positionV>
            <wp:extent cx="4572635" cy="2286000"/>
            <wp:effectExtent l="4445" t="4445" r="13970" b="14605"/>
            <wp:wrapNone/>
            <wp:docPr id="113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jc w:val="both"/>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p>
    <w:p>
      <w:pPr>
        <w:spacing w:line="600" w:lineRule="exact"/>
        <w:jc w:val="cente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（图7：“三公”经费财政拨款支出结构）</w:t>
      </w:r>
    </w:p>
    <w:p>
      <w:pPr>
        <w:spacing w:line="600" w:lineRule="exact"/>
        <w:ind w:firstLine="640"/>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t>1.因公出国（境）经费支出</w:t>
      </w:r>
      <w:r>
        <w:rPr>
          <w:rFonts w:hint="eastAsia" w:ascii="Times New Roman" w:hAnsi="Times New Roman" w:cs="仿宋_GB2312"/>
          <w:b/>
          <w:bCs/>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万元</w:t>
      </w:r>
      <w:r>
        <w:rPr>
          <w:rFonts w:hint="eastAsia" w:cs="仿宋_GB2312"/>
          <w:b/>
          <w:bCs/>
          <w:caps w:val="0"/>
          <w:color w:val="000000" w:themeColor="text1"/>
          <w:sz w:val="32"/>
          <w:szCs w:val="32"/>
          <w:highlight w:val="none"/>
          <w:lang w:eastAsia="zh-CN"/>
          <w14:textFill>
            <w14:solidFill>
              <w14:schemeClr w14:val="tx1"/>
            </w14:solidFill>
          </w14:textFill>
        </w:rPr>
        <w:t>，完成预算</w:t>
      </w:r>
      <w:r>
        <w:rPr>
          <w:rFonts w:hint="eastAsia" w:cs="仿宋_GB2312"/>
          <w:b/>
          <w:bCs/>
          <w:caps w:val="0"/>
          <w:color w:val="000000" w:themeColor="text1"/>
          <w:sz w:val="32"/>
          <w:szCs w:val="32"/>
          <w:highlight w:val="none"/>
          <w:lang w:val="en-US" w:eastAsia="zh-CN"/>
          <w14:textFill>
            <w14:solidFill>
              <w14:schemeClr w14:val="tx1"/>
            </w14:solidFill>
          </w14:textFill>
        </w:rPr>
        <w:t>100%</w:t>
      </w:r>
      <w:r>
        <w:rPr>
          <w:rStyle w:val="21"/>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全年安排因公出国（境）团组</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次，出国（境）</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人。因公出国（境）支出决算</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与</w:t>
      </w:r>
      <w:r>
        <w:rPr>
          <w:rFonts w:hint="eastAsia" w:cs="仿宋_GB2312"/>
          <w:caps w:val="0"/>
          <w:color w:val="000000" w:themeColor="text1"/>
          <w:sz w:val="32"/>
          <w:szCs w:val="32"/>
          <w:highlight w:val="none"/>
          <w:lang w:eastAsia="zh-CN"/>
          <w14:textFill>
            <w14:solidFill>
              <w14:schemeClr w14:val="tx1"/>
            </w14:solidFill>
          </w14:textFill>
        </w:rPr>
        <w:t>上年度</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持平</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pStyle w:val="5"/>
        <w:ind w:left="0" w:firstLine="643" w:firstLineChars="200"/>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2.公务用车购置及运行维护费支出</w:t>
      </w:r>
      <w:r>
        <w:rPr>
          <w:rFonts w:hint="eastAsia" w:cs="仿宋_GB2312"/>
          <w:b/>
          <w:bCs w:val="0"/>
          <w:caps w:val="0"/>
          <w:color w:val="000000" w:themeColor="text1"/>
          <w:sz w:val="32"/>
          <w:szCs w:val="32"/>
          <w:highlight w:val="none"/>
          <w:lang w:val="en-US" w:eastAsia="zh-CN"/>
          <w14:textFill>
            <w14:solidFill>
              <w14:schemeClr w14:val="tx1"/>
            </w14:solidFill>
          </w14:textFill>
        </w:rPr>
        <w:t>1.98</w:t>
      </w:r>
      <w:r>
        <w:rPr>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万元</w:t>
      </w:r>
      <w:r>
        <w:rPr>
          <w:rFonts w:hint="eastAsia" w:cs="仿宋_GB2312"/>
          <w:b/>
          <w:bCs w:val="0"/>
          <w:caps w:val="0"/>
          <w:color w:val="000000" w:themeColor="text1"/>
          <w:sz w:val="32"/>
          <w:szCs w:val="32"/>
          <w:highlight w:val="none"/>
          <w:lang w:eastAsia="zh-CN"/>
          <w14:textFill>
            <w14:solidFill>
              <w14:schemeClr w14:val="tx1"/>
            </w14:solidFill>
          </w14:textFill>
        </w:rPr>
        <w:t>，</w:t>
      </w:r>
      <w:r>
        <w:rPr>
          <w:rStyle w:val="21"/>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完成预算</w:t>
      </w:r>
      <w:r>
        <w:rPr>
          <w:rStyle w:val="21"/>
          <w:rFonts w:hint="eastAsia" w:ascii="Times New Roman" w:hAnsi="Times New Roman" w:cs="仿宋_GB2312"/>
          <w:b/>
          <w:bCs w:val="0"/>
          <w:caps w:val="0"/>
          <w:color w:val="000000" w:themeColor="text1"/>
          <w:sz w:val="32"/>
          <w:szCs w:val="32"/>
          <w:highlight w:val="none"/>
          <w:lang w:val="en-US" w:eastAsia="zh-CN"/>
          <w14:textFill>
            <w14:solidFill>
              <w14:schemeClr w14:val="tx1"/>
            </w14:solidFill>
          </w14:textFill>
        </w:rPr>
        <w:t>100</w:t>
      </w:r>
      <w:r>
        <w:rPr>
          <w:rStyle w:val="21"/>
          <w:rFonts w:hint="eastAsia" w:ascii="Times New Roman" w:hAnsi="Times New Roman" w:eastAsia="仿宋_GB2312" w:cs="仿宋_GB2312"/>
          <w:b/>
          <w:bCs w:val="0"/>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公务用车购置及运行维护费支出决算比</w:t>
      </w:r>
      <w:r>
        <w:rPr>
          <w:rFonts w:hint="eastAsia" w:cs="仿宋_GB2312"/>
          <w:caps w:val="0"/>
          <w:color w:val="000000" w:themeColor="text1"/>
          <w:sz w:val="32"/>
          <w:szCs w:val="32"/>
          <w:highlight w:val="none"/>
          <w:lang w:eastAsia="zh-CN"/>
          <w14:textFill>
            <w14:solidFill>
              <w14:schemeClr w14:val="tx1"/>
            </w14:solidFill>
          </w14:textFill>
        </w:rPr>
        <w:t>上年度增加</w:t>
      </w:r>
      <w:r>
        <w:rPr>
          <w:rFonts w:hint="eastAsia" w:cs="仿宋_GB2312"/>
          <w:caps w:val="0"/>
          <w:color w:val="000000" w:themeColor="text1"/>
          <w:sz w:val="32"/>
          <w:szCs w:val="32"/>
          <w:highlight w:val="none"/>
          <w:lang w:val="en-US" w:eastAsia="zh-CN"/>
          <w14:textFill>
            <w14:solidFill>
              <w14:schemeClr w14:val="tx1"/>
            </w14:solidFill>
          </w14:textFill>
        </w:rPr>
        <w:t>0.19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增长</w:t>
      </w:r>
      <w:r>
        <w:rPr>
          <w:rFonts w:hint="eastAsia" w:cs="仿宋_GB2312"/>
          <w:caps w:val="0"/>
          <w:color w:val="000000" w:themeColor="text1"/>
          <w:sz w:val="32"/>
          <w:szCs w:val="32"/>
          <w:highlight w:val="none"/>
          <w:lang w:val="en-US" w:eastAsia="zh-CN"/>
          <w14:textFill>
            <w14:solidFill>
              <w14:schemeClr w14:val="tx1"/>
            </w14:solidFill>
          </w14:textFill>
        </w:rPr>
        <w:t>10.61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%。主要原因是</w:t>
      </w:r>
      <w:r>
        <w:rPr>
          <w:rFonts w:hint="eastAsia" w:ascii="Times New Roman" w:hAnsi="Times New Roman" w:eastAsia="仿宋_GB2312" w:cs="仿宋"/>
          <w:color w:val="000000" w:themeColor="text1"/>
          <w:sz w:val="32"/>
          <w:szCs w:val="32"/>
          <w14:textFill>
            <w14:solidFill>
              <w14:schemeClr w14:val="tx1"/>
            </w14:solidFill>
          </w14:textFill>
        </w:rPr>
        <w:t>202</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5</w:t>
      </w:r>
      <w:r>
        <w:rPr>
          <w:rFonts w:hint="eastAsia" w:ascii="Times New Roman" w:hAnsi="Times New Roman" w:eastAsia="仿宋_GB2312" w:cs="仿宋"/>
          <w:color w:val="000000" w:themeColor="text1"/>
          <w:sz w:val="32"/>
          <w:szCs w:val="32"/>
          <w14:textFill>
            <w14:solidFill>
              <w14:schemeClr w14:val="tx1"/>
            </w14:solidFill>
          </w14:textFill>
        </w:rPr>
        <w:t>年</w:t>
      </w:r>
      <w:r>
        <w:rPr>
          <w:rFonts w:hint="eastAsia" w:ascii="Times New Roman" w:hAnsi="Times New Roman" w:eastAsia="仿宋_GB2312" w:cs="仿宋"/>
          <w:color w:val="000000" w:themeColor="text1"/>
          <w:sz w:val="32"/>
          <w:szCs w:val="32"/>
          <w:lang w:eastAsia="zh-CN"/>
          <w14:textFill>
            <w14:solidFill>
              <w14:schemeClr w14:val="tx1"/>
            </w14:solidFill>
          </w14:textFill>
        </w:rPr>
        <w:t>公务用车外出公务活动频次略有增加</w:t>
      </w:r>
      <w:r>
        <w:rPr>
          <w:rFonts w:hint="eastAsia" w:ascii="Times New Roman" w:hAnsi="Times New Roman" w:eastAsia="仿宋_GB2312" w:cs="仿宋"/>
          <w:color w:val="000000" w:themeColor="text1"/>
          <w:sz w:val="32"/>
          <w:szCs w:val="32"/>
          <w14:textFill>
            <w14:solidFill>
              <w14:schemeClr w14:val="tx1"/>
            </w14:solidFill>
          </w14:textFill>
        </w:rPr>
        <w:t>。</w:t>
      </w:r>
    </w:p>
    <w:p>
      <w:pPr>
        <w:spacing w:line="600" w:lineRule="exact"/>
        <w:ind w:firstLine="640" w:firstLineChars="200"/>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其中：公务用车购置支出</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万元。全年按规定更新购置公务用车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辆，其中：轿车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辆、金额</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万元，越野车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辆、金额</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万元，载客汽车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辆、金额</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万元。截至</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202</w:t>
      </w:r>
      <w:r>
        <w:rPr>
          <w:rFonts w:hint="eastAsia" w:cs="仿宋_GB2312"/>
          <w:b w:val="0"/>
          <w:bCs w:val="0"/>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b w:val="0"/>
          <w:bCs w:val="0"/>
          <w:caps w:val="0"/>
          <w:color w:val="000000" w:themeColor="text1"/>
          <w:sz w:val="32"/>
          <w:szCs w:val="32"/>
          <w:highlight w:val="none"/>
          <w:lang w:eastAsia="zh-CN"/>
          <w14:textFill>
            <w14:solidFill>
              <w14:schemeClr w14:val="tx1"/>
            </w14:solidFill>
          </w14:textFill>
        </w:rPr>
        <w:t>年</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12月</w:t>
      </w:r>
      <w:r>
        <w:rPr>
          <w:rFonts w:hint="eastAsia" w:cs="仿宋_GB2312"/>
          <w:b w:val="0"/>
          <w:bCs w:val="0"/>
          <w:caps w:val="0"/>
          <w:color w:val="000000" w:themeColor="text1"/>
          <w:sz w:val="32"/>
          <w:szCs w:val="32"/>
          <w:highlight w:val="none"/>
          <w:lang w:val="en-US" w:eastAsia="zh-CN"/>
          <w14:textFill>
            <w14:solidFill>
              <w14:schemeClr w14:val="tx1"/>
            </w14:solidFill>
          </w14:textFill>
        </w:rPr>
        <w:t>31日</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，单位共有公务用车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辆，其中：轿车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辆、越野车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辆、载客汽车</w:t>
      </w:r>
      <w:r>
        <w:rPr>
          <w:rFonts w:hint="eastAsia" w:ascii="Times New Roman" w:hAnsi="Times New Roman" w:cs="仿宋_GB2312"/>
          <w:b w:val="0"/>
          <w:bCs w:val="0"/>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b w:val="0"/>
          <w:bCs w:val="0"/>
          <w:caps w:val="0"/>
          <w:color w:val="000000" w:themeColor="text1"/>
          <w:sz w:val="32"/>
          <w:szCs w:val="32"/>
          <w:highlight w:val="none"/>
          <w14:textFill>
            <w14:solidFill>
              <w14:schemeClr w14:val="tx1"/>
            </w14:solidFill>
          </w14:textFill>
        </w:rPr>
        <w:t>辆。</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公务用车运行维护费支出</w:t>
      </w:r>
      <w:r>
        <w:rPr>
          <w:rFonts w:hint="eastAsia" w:cs="仿宋_GB2312"/>
          <w:b w:val="0"/>
          <w:bCs/>
          <w:caps w:val="0"/>
          <w:color w:val="000000" w:themeColor="text1"/>
          <w:sz w:val="32"/>
          <w:szCs w:val="32"/>
          <w:highlight w:val="none"/>
          <w:lang w:val="en-US" w:eastAsia="zh-CN"/>
          <w14:textFill>
            <w14:solidFill>
              <w14:schemeClr w14:val="tx1"/>
            </w14:solidFill>
          </w14:textFill>
        </w:rPr>
        <w:t>1.98</w:t>
      </w: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万元。</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主要用于</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党校教学、科研工作</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等所需的公务用车燃料费、维修费、过路过桥费、保险费等支出。</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caps w:val="0"/>
          <w:color w:val="000000" w:themeColor="text1"/>
          <w:sz w:val="32"/>
          <w:szCs w:val="32"/>
          <w:highlight w:val="none"/>
          <w14:textFill>
            <w14:solidFill>
              <w14:schemeClr w14:val="tx1"/>
            </w14:solidFill>
          </w14:textFill>
        </w:rPr>
        <w:t>3.公务接待费支出</w:t>
      </w:r>
      <w:r>
        <w:rPr>
          <w:rFonts w:hint="eastAsia" w:cs="仿宋_GB2312"/>
          <w:b/>
          <w:caps w:val="0"/>
          <w:color w:val="000000" w:themeColor="text1"/>
          <w:sz w:val="32"/>
          <w:szCs w:val="32"/>
          <w:highlight w:val="none"/>
          <w:lang w:val="en-US" w:eastAsia="zh-CN"/>
          <w14:textFill>
            <w14:solidFill>
              <w14:schemeClr w14:val="tx1"/>
            </w14:solidFill>
          </w14:textFill>
        </w:rPr>
        <w:t>0.94</w:t>
      </w:r>
      <w:r>
        <w:rPr>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万元，</w:t>
      </w:r>
      <w:r>
        <w:rPr>
          <w:rStyle w:val="21"/>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完成预算</w:t>
      </w:r>
      <w:r>
        <w:rPr>
          <w:rStyle w:val="21"/>
          <w:rFonts w:hint="eastAsia" w:ascii="Times New Roman" w:hAnsi="Times New Roman" w:cs="仿宋_GB2312"/>
          <w:b/>
          <w:bCs/>
          <w:caps w:val="0"/>
          <w:color w:val="000000" w:themeColor="text1"/>
          <w:sz w:val="32"/>
          <w:szCs w:val="32"/>
          <w:highlight w:val="none"/>
          <w:lang w:val="en-US" w:eastAsia="zh-CN"/>
          <w14:textFill>
            <w14:solidFill>
              <w14:schemeClr w14:val="tx1"/>
            </w14:solidFill>
          </w14:textFill>
        </w:rPr>
        <w:t>100</w:t>
      </w:r>
      <w:r>
        <w:rPr>
          <w:rStyle w:val="21"/>
          <w:rFonts w:hint="eastAsia" w:ascii="Times New Roman" w:hAnsi="Times New Roman" w:eastAsia="仿宋_GB2312" w:cs="仿宋_GB2312"/>
          <w:b/>
          <w:bCs/>
          <w:cap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公务接待费支出决算比</w:t>
      </w:r>
      <w:r>
        <w:rPr>
          <w:rFonts w:hint="eastAsia" w:cs="仿宋_GB2312"/>
          <w:caps w:val="0"/>
          <w:color w:val="000000" w:themeColor="text1"/>
          <w:sz w:val="32"/>
          <w:szCs w:val="32"/>
          <w:highlight w:val="none"/>
          <w:lang w:eastAsia="zh-CN"/>
          <w14:textFill>
            <w14:solidFill>
              <w14:schemeClr w14:val="tx1"/>
            </w14:solidFill>
          </w14:textFill>
        </w:rPr>
        <w:t>上年度减少</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0.0</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下降</w:t>
      </w:r>
      <w:r>
        <w:rPr>
          <w:rFonts w:hint="eastAsia" w:cs="仿宋_GB2312"/>
          <w:caps w:val="0"/>
          <w:color w:val="000000" w:themeColor="text1"/>
          <w:sz w:val="32"/>
          <w:szCs w:val="32"/>
          <w:highlight w:val="none"/>
          <w:lang w:val="en-US" w:eastAsia="zh-CN"/>
          <w14:textFill>
            <w14:solidFill>
              <w14:schemeClr w14:val="tx1"/>
            </w14:solidFill>
          </w14:textFill>
        </w:rPr>
        <w:t>5.05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%。主要原因是</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接待人次略有增加</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。其中：</w:t>
      </w:r>
    </w:p>
    <w:p>
      <w:pPr>
        <w:spacing w:line="600" w:lineRule="exact"/>
        <w:ind w:firstLine="64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国内公务接待支出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0.9</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主要用于</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省委党校、其他地方党校等来我市调研、考察、交流学习等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开支的用餐费。国内公务接待</w:t>
      </w:r>
      <w:r>
        <w:rPr>
          <w:rFonts w:hint="eastAsia" w:cs="仿宋_GB2312"/>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批次，</w:t>
      </w:r>
      <w:r>
        <w:rPr>
          <w:rFonts w:hint="eastAsia" w:cs="仿宋_GB2312"/>
          <w:caps w:val="0"/>
          <w:color w:val="000000" w:themeColor="text1"/>
          <w:sz w:val="32"/>
          <w:szCs w:val="32"/>
          <w:highlight w:val="none"/>
          <w:lang w:val="en-US" w:eastAsia="zh-CN"/>
          <w14:textFill>
            <w14:solidFill>
              <w14:schemeClr w14:val="tx1"/>
            </w14:solidFill>
          </w14:textFill>
        </w:rPr>
        <w:t>78</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人次，共计支出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0.9</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万元，具体内容包括：</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）接待省委党校在职研究生期末考试巡考人员，</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3人次，</w:t>
      </w:r>
      <w:r>
        <w:rPr>
          <w:rFonts w:hint="eastAsia" w:cs="仿宋_GB2312"/>
          <w:caps w:val="0"/>
          <w:color w:val="000000" w:themeColor="text1"/>
          <w:sz w:val="32"/>
          <w:szCs w:val="32"/>
          <w:highlight w:val="none"/>
          <w:lang w:val="en-US" w:eastAsia="zh-CN"/>
          <w14:textFill>
            <w14:solidFill>
              <w14:schemeClr w14:val="tx1"/>
            </w14:solidFill>
          </w14:textFill>
        </w:rPr>
        <w:t>400</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2</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w:t>
      </w:r>
      <w:r>
        <w:rPr>
          <w:rFonts w:hint="eastAsia" w:cs="仿宋_GB2312"/>
          <w:caps w:val="0"/>
          <w:color w:val="000000" w:themeColor="text1"/>
          <w:sz w:val="32"/>
          <w:szCs w:val="32"/>
          <w:highlight w:val="none"/>
          <w:lang w:eastAsia="zh-CN"/>
          <w14:textFill>
            <w14:solidFill>
              <w14:schemeClr w14:val="tx1"/>
            </w14:solidFill>
          </w14:textFill>
        </w:rPr>
        <w:t>广元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党校来校</w:t>
      </w:r>
      <w:r>
        <w:rPr>
          <w:rFonts w:hint="eastAsia" w:cs="仿宋_GB2312"/>
          <w:caps w:val="0"/>
          <w:color w:val="000000" w:themeColor="text1"/>
          <w:sz w:val="32"/>
          <w:szCs w:val="32"/>
          <w:highlight w:val="none"/>
          <w:lang w:eastAsia="zh-CN"/>
          <w14:textFill>
            <w14:solidFill>
              <w14:schemeClr w14:val="tx1"/>
            </w14:solidFill>
          </w14:textFill>
        </w:rPr>
        <w:t>考察</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学习，</w:t>
      </w:r>
      <w:r>
        <w:rPr>
          <w:rFonts w:hint="eastAsia" w:cs="仿宋_GB2312"/>
          <w:caps w:val="0"/>
          <w:color w:val="000000" w:themeColor="text1"/>
          <w:sz w:val="32"/>
          <w:szCs w:val="32"/>
          <w:highlight w:val="none"/>
          <w:lang w:val="en-US" w:eastAsia="zh-CN"/>
          <w14:textFill>
            <w14:solidFill>
              <w14:schemeClr w14:val="tx1"/>
            </w14:solidFill>
          </w14:textFill>
        </w:rPr>
        <w:t>13</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人次，1</w:t>
      </w:r>
      <w:r>
        <w:rPr>
          <w:rFonts w:hint="eastAsia" w:cs="仿宋_GB2312"/>
          <w:caps w:val="0"/>
          <w:color w:val="000000" w:themeColor="text1"/>
          <w:sz w:val="32"/>
          <w:szCs w:val="32"/>
          <w:highlight w:val="none"/>
          <w:lang w:val="en-US" w:eastAsia="zh-CN"/>
          <w14:textFill>
            <w14:solidFill>
              <w14:schemeClr w14:val="tx1"/>
            </w14:solidFill>
          </w14:textFill>
        </w:rPr>
        <w:t>87</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3</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）接待重庆</w:t>
      </w:r>
      <w:r>
        <w:rPr>
          <w:rFonts w:hint="eastAsia" w:cs="仿宋_GB2312"/>
          <w:caps w:val="0"/>
          <w:color w:val="000000" w:themeColor="text1"/>
          <w:sz w:val="32"/>
          <w:szCs w:val="32"/>
          <w:highlight w:val="none"/>
          <w:lang w:eastAsia="zh-CN"/>
          <w14:textFill>
            <w14:solidFill>
              <w14:schemeClr w14:val="tx1"/>
            </w14:solidFill>
          </w14:textFill>
        </w:rPr>
        <w:t>南川</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区委党校来校考察学习，</w:t>
      </w:r>
      <w:r>
        <w:rPr>
          <w:rFonts w:hint="eastAsia" w:cs="仿宋_GB2312"/>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8人次，</w:t>
      </w:r>
      <w:r>
        <w:rPr>
          <w:rFonts w:hint="eastAsia" w:cs="仿宋_GB2312"/>
          <w:caps w:val="0"/>
          <w:color w:val="000000" w:themeColor="text1"/>
          <w:sz w:val="32"/>
          <w:szCs w:val="32"/>
          <w:highlight w:val="none"/>
          <w:lang w:val="en-US" w:eastAsia="zh-CN"/>
          <w14:textFill>
            <w14:solidFill>
              <w14:schemeClr w14:val="tx1"/>
            </w14:solidFill>
          </w14:textFill>
        </w:rPr>
        <w:t>253</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w:t>
      </w:r>
      <w:r>
        <w:rPr>
          <w:rFonts w:hint="eastAsia" w:cs="仿宋_GB2312"/>
          <w:caps w:val="0"/>
          <w:color w:val="000000" w:themeColor="text1"/>
          <w:sz w:val="32"/>
          <w:szCs w:val="32"/>
          <w:highlight w:val="none"/>
          <w:lang w:eastAsia="zh-CN"/>
          <w14:textFill>
            <w14:solidFill>
              <w14:schemeClr w14:val="tx1"/>
            </w14:solidFill>
          </w14:textFill>
        </w:rPr>
        <w:t>泸州市委</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党校来校</w:t>
      </w:r>
      <w:r>
        <w:rPr>
          <w:rFonts w:hint="eastAsia" w:cs="仿宋_GB2312"/>
          <w:caps w:val="0"/>
          <w:color w:val="000000" w:themeColor="text1"/>
          <w:sz w:val="32"/>
          <w:szCs w:val="32"/>
          <w:highlight w:val="none"/>
          <w:lang w:eastAsia="zh-CN"/>
          <w14:textFill>
            <w14:solidFill>
              <w14:schemeClr w14:val="tx1"/>
            </w14:solidFill>
          </w14:textFill>
        </w:rPr>
        <w:t>考察</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学习，</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人次，880元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）接待省委党校到自贡调研，</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4人次，1050元；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6</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）接待陕西省委党校到自贡调研，</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4人次，1050元；</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7</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）接待省委党校到自贡调研，</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8人次，1650元</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spacing w:line="600" w:lineRule="exact"/>
        <w:ind w:firstLine="640" w:firstLineChars="200"/>
        <w:rPr>
          <w:rFonts w:ascii="Times New Roman" w:hAnsi="Times New Roman" w:eastAsia="黑体"/>
          <w:caps w:val="0"/>
          <w:color w:val="000000" w:themeColor="text1"/>
          <w:sz w:val="32"/>
          <w:szCs w:val="32"/>
          <w14:textFill>
            <w14:solidFill>
              <w14:schemeClr w14:val="tx1"/>
            </w14:solidFill>
          </w14:textFill>
        </w:rPr>
      </w:pPr>
      <w:r>
        <w:rPr>
          <w:rFonts w:hint="eastAsia" w:ascii="Times New Roman" w:hAnsi="Times New Roman" w:eastAsia="仿宋_GB2312" w:cs="仿宋_GB2312"/>
          <w:b w:val="0"/>
          <w:bCs/>
          <w:caps w:val="0"/>
          <w:color w:val="000000" w:themeColor="text1"/>
          <w:sz w:val="32"/>
          <w:szCs w:val="32"/>
          <w:highlight w:val="none"/>
          <w14:textFill>
            <w14:solidFill>
              <w14:schemeClr w14:val="tx1"/>
            </w14:solidFill>
          </w14:textFill>
        </w:rPr>
        <w:t>外事接待支出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外事接待</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批次，</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人</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，共计支出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bookmarkStart w:id="39" w:name="_Toc15377218"/>
      <w:bookmarkStart w:id="40" w:name="_Toc15396610"/>
    </w:p>
    <w:p>
      <w:pPr>
        <w:spacing w:line="600" w:lineRule="exact"/>
        <w:ind w:firstLine="640"/>
        <w:outlineLvl w:val="1"/>
        <w:rPr>
          <w:rStyle w:val="24"/>
          <w:rFonts w:ascii="Times New Roman" w:hAnsi="Times New Roman" w:eastAsia="黑体"/>
          <w:caps w:val="0"/>
          <w:color w:val="000000" w:themeColor="text1"/>
          <w14:textFill>
            <w14:solidFill>
              <w14:schemeClr w14:val="tx1"/>
            </w14:solidFill>
          </w14:textFill>
        </w:rPr>
      </w:pPr>
      <w:bookmarkStart w:id="41" w:name="_Toc31714"/>
      <w:r>
        <w:rPr>
          <w:rFonts w:hint="eastAsia" w:ascii="Times New Roman" w:hAnsi="Times New Roman" w:eastAsia="黑体"/>
          <w:caps w:val="0"/>
          <w:color w:val="000000" w:themeColor="text1"/>
          <w:sz w:val="32"/>
          <w:szCs w:val="32"/>
          <w14:textFill>
            <w14:solidFill>
              <w14:schemeClr w14:val="tx1"/>
            </w14:solidFill>
          </w14:textFill>
        </w:rPr>
        <w:t>八、</w:t>
      </w:r>
      <w:r>
        <w:rPr>
          <w:rStyle w:val="24"/>
          <w:rFonts w:hint="eastAsia" w:ascii="Times New Roman" w:hAnsi="Times New Roman" w:eastAsia="黑体"/>
          <w:b w:val="0"/>
          <w:caps w:val="0"/>
          <w:color w:val="000000" w:themeColor="text1"/>
          <w14:textFill>
            <w14:solidFill>
              <w14:schemeClr w14:val="tx1"/>
            </w14:solidFill>
          </w14:textFill>
        </w:rPr>
        <w:t>政府性基金预算支出决算情况说明</w:t>
      </w:r>
      <w:bookmarkEnd w:id="39"/>
      <w:bookmarkEnd w:id="40"/>
      <w:bookmarkEnd w:id="41"/>
    </w:p>
    <w:p>
      <w:pPr>
        <w:spacing w:line="600" w:lineRule="exact"/>
        <w:ind w:firstLine="640"/>
        <w:rPr>
          <w:rFonts w:hint="default" w:ascii="Times New Roman" w:hAnsi="Times New Roman" w:eastAsia="仿宋_GB2312" w:cs="仿宋_GB2312"/>
          <w:caps w:val="0"/>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政府性基金预算</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财政</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拨款支出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与</w:t>
      </w:r>
      <w:r>
        <w:rPr>
          <w:rFonts w:hint="eastAsia" w:cs="仿宋_GB2312"/>
          <w:caps w:val="0"/>
          <w:color w:val="000000" w:themeColor="text1"/>
          <w:sz w:val="32"/>
          <w:szCs w:val="32"/>
          <w:highlight w:val="none"/>
          <w:lang w:val="en-US" w:eastAsia="zh-CN"/>
          <w14:textFill>
            <w14:solidFill>
              <w14:schemeClr w14:val="tx1"/>
            </w14:solidFill>
          </w14:textFill>
        </w:rPr>
        <w:t>上年度持平。</w:t>
      </w:r>
    </w:p>
    <w:p>
      <w:pPr>
        <w:numPr>
          <w:ilvl w:val="0"/>
          <w:numId w:val="2"/>
        </w:numPr>
        <w:spacing w:line="600" w:lineRule="exact"/>
        <w:ind w:firstLine="640"/>
        <w:outlineLvl w:val="1"/>
        <w:rPr>
          <w:rStyle w:val="24"/>
          <w:rFonts w:ascii="Times New Roman" w:hAnsi="Times New Roman" w:eastAsia="黑体"/>
          <w:b w:val="0"/>
          <w:caps w:val="0"/>
          <w:color w:val="000000" w:themeColor="text1"/>
          <w14:textFill>
            <w14:solidFill>
              <w14:schemeClr w14:val="tx1"/>
            </w14:solidFill>
          </w14:textFill>
        </w:rPr>
      </w:pPr>
      <w:bookmarkStart w:id="42" w:name="_Toc15396611"/>
      <w:bookmarkStart w:id="43" w:name="_Toc15377219"/>
      <w:bookmarkStart w:id="44" w:name="_Toc12385"/>
      <w:r>
        <w:rPr>
          <w:rStyle w:val="24"/>
          <w:rFonts w:hint="eastAsia" w:ascii="Times New Roman" w:hAnsi="Times New Roman" w:eastAsia="黑体"/>
          <w:b w:val="0"/>
          <w:caps w:val="0"/>
          <w:color w:val="000000" w:themeColor="text1"/>
          <w14:textFill>
            <w14:solidFill>
              <w14:schemeClr w14:val="tx1"/>
            </w14:solidFill>
          </w14:textFill>
        </w:rPr>
        <w:t>国有资本经营预算支出决算情况说明</w:t>
      </w:r>
      <w:bookmarkEnd w:id="42"/>
      <w:bookmarkEnd w:id="43"/>
      <w:bookmarkEnd w:id="44"/>
    </w:p>
    <w:p>
      <w:pPr>
        <w:spacing w:line="600" w:lineRule="exact"/>
        <w:ind w:firstLine="640"/>
        <w:rPr>
          <w:rFonts w:ascii="Times New Roman" w:hAnsi="Times New Roman" w:eastAsia="方正小标宋简体" w:cs="方正小标宋简体"/>
          <w:caps w:val="0"/>
          <w:color w:val="000000" w:themeColor="text1"/>
          <w:sz w:val="44"/>
          <w:szCs w:val="44"/>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国有资本经营预算</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财政</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拨款支出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与</w:t>
      </w:r>
      <w:r>
        <w:rPr>
          <w:rFonts w:hint="eastAsia" w:cs="仿宋_GB2312"/>
          <w:caps w:val="0"/>
          <w:color w:val="000000" w:themeColor="text1"/>
          <w:sz w:val="32"/>
          <w:szCs w:val="32"/>
          <w:highlight w:val="none"/>
          <w:lang w:val="en-US" w:eastAsia="zh-CN"/>
          <w14:textFill>
            <w14:solidFill>
              <w14:schemeClr w14:val="tx1"/>
            </w14:solidFill>
          </w14:textFill>
        </w:rPr>
        <w:t>上年度持平。</w:t>
      </w:r>
    </w:p>
    <w:p>
      <w:pPr>
        <w:spacing w:line="600" w:lineRule="exact"/>
        <w:ind w:firstLine="800" w:firstLineChars="250"/>
        <w:outlineLvl w:val="1"/>
        <w:rPr>
          <w:rStyle w:val="24"/>
          <w:rFonts w:ascii="Times New Roman" w:hAnsi="Times New Roman" w:eastAsia="黑体"/>
          <w:caps w:val="0"/>
          <w:color w:val="000000" w:themeColor="text1"/>
          <w14:textFill>
            <w14:solidFill>
              <w14:schemeClr w14:val="tx1"/>
            </w14:solidFill>
          </w14:textFill>
        </w:rPr>
      </w:pPr>
      <w:bookmarkStart w:id="45" w:name="_Toc30095"/>
      <w:bookmarkStart w:id="46" w:name="_Toc15396612"/>
      <w:bookmarkStart w:id="47" w:name="_Toc15377221"/>
      <w:r>
        <w:rPr>
          <w:rFonts w:hint="eastAsia" w:ascii="Times New Roman" w:hAnsi="Times New Roman" w:eastAsia="黑体"/>
          <w:caps w:val="0"/>
          <w:color w:val="000000" w:themeColor="text1"/>
          <w:sz w:val="32"/>
          <w:szCs w:val="32"/>
          <w14:textFill>
            <w14:solidFill>
              <w14:schemeClr w14:val="tx1"/>
            </w14:solidFill>
          </w14:textFill>
        </w:rPr>
        <w:t>十</w:t>
      </w:r>
      <w:r>
        <w:rPr>
          <w:rStyle w:val="24"/>
          <w:rFonts w:hint="eastAsia" w:ascii="Times New Roman" w:hAnsi="Times New Roman" w:eastAsia="黑体"/>
          <w:caps w:val="0"/>
          <w:color w:val="000000" w:themeColor="text1"/>
          <w14:textFill>
            <w14:solidFill>
              <w14:schemeClr w14:val="tx1"/>
            </w14:solidFill>
          </w14:textFill>
        </w:rPr>
        <w:t>、</w:t>
      </w:r>
      <w:r>
        <w:rPr>
          <w:rStyle w:val="24"/>
          <w:rFonts w:hint="eastAsia" w:ascii="Times New Roman" w:hAnsi="Times New Roman" w:eastAsia="黑体"/>
          <w:b w:val="0"/>
          <w:caps w:val="0"/>
          <w:color w:val="000000" w:themeColor="text1"/>
          <w14:textFill>
            <w14:solidFill>
              <w14:schemeClr w14:val="tx1"/>
            </w14:solidFill>
          </w14:textFill>
        </w:rPr>
        <w:t>其他重要事项的情况说明</w:t>
      </w:r>
      <w:bookmarkEnd w:id="45"/>
      <w:bookmarkEnd w:id="46"/>
      <w:bookmarkEnd w:id="47"/>
    </w:p>
    <w:p>
      <w:pPr>
        <w:spacing w:line="600" w:lineRule="exact"/>
        <w:ind w:firstLine="643" w:firstLineChars="200"/>
        <w:outlineLvl w:val="2"/>
        <w:rPr>
          <w:rFonts w:hint="eastAsia" w:ascii="Times New Roman" w:hAnsi="Times New Roman" w:eastAsia="仿宋_GB2312" w:cs="仿宋_GB2312"/>
          <w:caps w:val="0"/>
          <w:color w:val="000000" w:themeColor="text1"/>
          <w:sz w:val="32"/>
          <w:szCs w:val="32"/>
          <w14:textFill>
            <w14:solidFill>
              <w14:schemeClr w14:val="tx1"/>
            </w14:solidFill>
          </w14:textFill>
        </w:rPr>
      </w:pPr>
      <w:bookmarkStart w:id="48" w:name="_Toc15377222"/>
      <w:r>
        <w:rPr>
          <w:rFonts w:hint="eastAsia" w:ascii="Times New Roman" w:hAnsi="Times New Roman" w:eastAsia="仿宋_GB2312" w:cs="仿宋_GB2312"/>
          <w:b/>
          <w:caps w:val="0"/>
          <w:color w:val="000000" w:themeColor="text1"/>
          <w:sz w:val="32"/>
          <w:szCs w:val="32"/>
          <w14:textFill>
            <w14:solidFill>
              <w14:schemeClr w14:val="tx1"/>
            </w14:solidFill>
          </w14:textFill>
        </w:rPr>
        <w:t>（一）机关运行经费支出情况</w:t>
      </w:r>
      <w:bookmarkEnd w:id="48"/>
    </w:p>
    <w:p>
      <w:pPr>
        <w:spacing w:line="600" w:lineRule="exact"/>
        <w:ind w:firstLine="640" w:firstLineChars="200"/>
        <w:rPr>
          <w:rFonts w:hint="eastAsia" w:ascii="Times New Roman" w:hAnsi="Times New Roman" w:eastAsia="仿宋_GB2312" w:cs="仿宋_GB2312"/>
          <w:caps w:val="0"/>
          <w:color w:val="000000" w:themeColor="text1"/>
          <w:sz w:val="32"/>
          <w:szCs w:val="32"/>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机关运行经费支出</w:t>
      </w:r>
      <w:r>
        <w:rPr>
          <w:rFonts w:hint="eastAsia" w:cs="仿宋_GB2312"/>
          <w:caps w:val="0"/>
          <w:color w:val="000000" w:themeColor="text1"/>
          <w:sz w:val="32"/>
          <w:szCs w:val="32"/>
          <w:highlight w:val="none"/>
          <w:lang w:val="en-US" w:eastAsia="zh-CN"/>
          <w14:textFill>
            <w14:solidFill>
              <w14:schemeClr w14:val="tx1"/>
            </w14:solidFill>
          </w14:textFill>
        </w:rPr>
        <w:t>195.2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万元，比</w:t>
      </w:r>
      <w:r>
        <w:rPr>
          <w:rFonts w:hint="eastAsia" w:cs="仿宋_GB2312"/>
          <w:caps w:val="0"/>
          <w:color w:val="000000" w:themeColor="text1"/>
          <w:sz w:val="32"/>
          <w:szCs w:val="32"/>
          <w:highlight w:val="none"/>
          <w:lang w:eastAsia="zh-CN"/>
          <w14:textFill>
            <w14:solidFill>
              <w14:schemeClr w14:val="tx1"/>
            </w14:solidFill>
          </w14:textFill>
        </w:rPr>
        <w:t>上年度增加</w:t>
      </w:r>
      <w:r>
        <w:rPr>
          <w:rFonts w:hint="eastAsia" w:cs="仿宋_GB2312"/>
          <w:caps w:val="0"/>
          <w:color w:val="000000" w:themeColor="text1"/>
          <w:sz w:val="32"/>
          <w:szCs w:val="32"/>
          <w:highlight w:val="none"/>
          <w:lang w:val="en-US" w:eastAsia="zh-CN"/>
          <w14:textFill>
            <w14:solidFill>
              <w14:schemeClr w14:val="tx1"/>
            </w14:solidFill>
          </w14:textFill>
        </w:rPr>
        <w:t>5.97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w:t>
      </w:r>
      <w:r>
        <w:rPr>
          <w:rFonts w:hint="eastAsia" w:cs="仿宋_GB2312"/>
          <w:caps w:val="0"/>
          <w:color w:val="000000" w:themeColor="text1"/>
          <w:sz w:val="32"/>
          <w:szCs w:val="32"/>
          <w:highlight w:val="none"/>
          <w:lang w:eastAsia="zh-CN"/>
          <w14:textFill>
            <w14:solidFill>
              <w14:schemeClr w14:val="tx1"/>
            </w14:solidFill>
          </w14:textFill>
        </w:rPr>
        <w:t>增长</w:t>
      </w:r>
      <w:r>
        <w:rPr>
          <w:rFonts w:hint="eastAsia" w:cs="仿宋_GB2312"/>
          <w:caps w:val="0"/>
          <w:color w:val="000000" w:themeColor="text1"/>
          <w:sz w:val="32"/>
          <w:szCs w:val="32"/>
          <w:highlight w:val="none"/>
          <w:lang w:val="en-US" w:eastAsia="zh-CN"/>
          <w14:textFill>
            <w14:solidFill>
              <w14:schemeClr w14:val="tx1"/>
            </w14:solidFill>
          </w14:textFill>
        </w:rPr>
        <w:t>3.16</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%。主要原因是</w:t>
      </w:r>
      <w:r>
        <w:rPr>
          <w:rFonts w:hint="eastAsia" w:cs="仿宋_GB2312"/>
          <w:caps w:val="0"/>
          <w:color w:val="000000" w:themeColor="text1"/>
          <w:sz w:val="32"/>
          <w:szCs w:val="32"/>
          <w:highlight w:val="none"/>
          <w:lang w:eastAsia="zh-CN"/>
          <w14:textFill>
            <w14:solidFill>
              <w14:schemeClr w14:val="tx1"/>
            </w14:solidFill>
          </w14:textFill>
        </w:rPr>
        <w:t>预算基数变化增加的机关运行经费</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p>
    <w:p>
      <w:pPr>
        <w:autoSpaceDE w:val="0"/>
        <w:autoSpaceDN w:val="0"/>
        <w:adjustRightInd w:val="0"/>
        <w:spacing w:line="600" w:lineRule="exact"/>
        <w:ind w:firstLine="643" w:firstLineChars="200"/>
        <w:jc w:val="left"/>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49" w:name="_Toc15377223"/>
      <w:r>
        <w:rPr>
          <w:rFonts w:hint="eastAsia" w:ascii="Times New Roman" w:hAnsi="Times New Roman" w:eastAsia="仿宋_GB2312" w:cs="仿宋_GB2312"/>
          <w:b/>
          <w:caps w:val="0"/>
          <w:color w:val="000000" w:themeColor="text1"/>
          <w:sz w:val="32"/>
          <w:szCs w:val="32"/>
          <w14:textFill>
            <w14:solidFill>
              <w14:schemeClr w14:val="tx1"/>
            </w14:solidFill>
          </w14:textFill>
        </w:rPr>
        <w:t>（二）政府采购支出情况</w:t>
      </w:r>
      <w:bookmarkEnd w:id="49"/>
    </w:p>
    <w:p>
      <w:pPr>
        <w:spacing w:line="600" w:lineRule="exact"/>
        <w:ind w:firstLine="640" w:firstLineChars="200"/>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cs="仿宋_GB2312"/>
          <w:caps w:val="0"/>
          <w:color w:val="000000" w:themeColor="text1"/>
          <w:sz w:val="32"/>
          <w:szCs w:val="32"/>
          <w:highlight w:val="none"/>
          <w:lang w:eastAsia="zh-CN"/>
          <w14:textFill>
            <w14:solidFill>
              <w14:schemeClr w14:val="tx1"/>
            </w14:solidFill>
          </w14:textFill>
        </w:rPr>
        <w:t>年度</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政府采购支出总额</w:t>
      </w:r>
      <w:r>
        <w:rPr>
          <w:rFonts w:hint="eastAsia" w:cs="仿宋_GB2312"/>
          <w:caps w:val="0"/>
          <w:color w:val="000000" w:themeColor="text1"/>
          <w:sz w:val="32"/>
          <w:szCs w:val="32"/>
          <w:highlight w:val="none"/>
          <w:lang w:val="en-US" w:eastAsia="zh-CN"/>
          <w14:textFill>
            <w14:solidFill>
              <w14:schemeClr w14:val="tx1"/>
            </w14:solidFill>
          </w14:textFill>
        </w:rPr>
        <w:t>132.82</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万元，其中：政府采购货物支出</w:t>
      </w:r>
      <w:r>
        <w:rPr>
          <w:rFonts w:hint="eastAsia" w:cs="仿宋_GB2312"/>
          <w:caps w:val="0"/>
          <w:color w:val="000000" w:themeColor="text1"/>
          <w:sz w:val="32"/>
          <w:szCs w:val="32"/>
          <w:highlight w:val="none"/>
          <w:lang w:val="en-US" w:eastAsia="zh-CN"/>
          <w14:textFill>
            <w14:solidFill>
              <w14:schemeClr w14:val="tx1"/>
            </w14:solidFill>
          </w14:textFill>
        </w:rPr>
        <w:t>71.07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万元、政府采购工程支出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万元、政府采购服务支出</w:t>
      </w:r>
      <w:r>
        <w:rPr>
          <w:rFonts w:hint="eastAsia" w:cs="仿宋_GB2312"/>
          <w:caps w:val="0"/>
          <w:color w:val="000000" w:themeColor="text1"/>
          <w:sz w:val="32"/>
          <w:szCs w:val="32"/>
          <w:highlight w:val="none"/>
          <w:lang w:val="en-US" w:eastAsia="zh-CN"/>
          <w14:textFill>
            <w14:solidFill>
              <w14:schemeClr w14:val="tx1"/>
            </w14:solidFill>
          </w14:textFill>
        </w:rPr>
        <w:t>61.75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万元。主要用于</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采购办公设备、物业管理、汽车维修、加油、保险等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。授予中小企业合同金额</w:t>
      </w:r>
      <w:r>
        <w:rPr>
          <w:rFonts w:hint="eastAsia" w:cs="仿宋_GB2312"/>
          <w:caps w:val="0"/>
          <w:color w:val="000000" w:themeColor="text1"/>
          <w:sz w:val="32"/>
          <w:szCs w:val="32"/>
          <w:highlight w:val="none"/>
          <w:lang w:val="en-US" w:eastAsia="zh-CN"/>
          <w14:textFill>
            <w14:solidFill>
              <w14:schemeClr w14:val="tx1"/>
            </w14:solidFill>
          </w14:textFill>
        </w:rPr>
        <w:t>77.4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万元，占政府采购支出总额的</w:t>
      </w:r>
      <w:r>
        <w:rPr>
          <w:rFonts w:hint="eastAsia" w:cs="仿宋_GB2312"/>
          <w:caps w:val="0"/>
          <w:color w:val="000000" w:themeColor="text1"/>
          <w:sz w:val="32"/>
          <w:szCs w:val="32"/>
          <w:highlight w:val="none"/>
          <w:lang w:val="en-US" w:eastAsia="zh-CN"/>
          <w14:textFill>
            <w14:solidFill>
              <w14:schemeClr w14:val="tx1"/>
            </w14:solidFill>
          </w14:textFill>
        </w:rPr>
        <w:t>58.27</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%，其中：授予小微企业合同金额</w:t>
      </w:r>
      <w:r>
        <w:rPr>
          <w:rFonts w:hint="eastAsia" w:cs="仿宋_GB2312"/>
          <w:caps w:val="0"/>
          <w:color w:val="000000" w:themeColor="text1"/>
          <w:sz w:val="32"/>
          <w:szCs w:val="32"/>
          <w:highlight w:val="none"/>
          <w:lang w:val="en-US" w:eastAsia="zh-CN"/>
          <w14:textFill>
            <w14:solidFill>
              <w14:schemeClr w14:val="tx1"/>
            </w14:solidFill>
          </w14:textFill>
        </w:rPr>
        <w:t>0.91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万元，占政府采购支出总额的</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cs="仿宋_GB2312"/>
          <w:caps w:val="0"/>
          <w:color w:val="000000" w:themeColor="text1"/>
          <w:sz w:val="32"/>
          <w:szCs w:val="32"/>
          <w:highlight w:val="none"/>
          <w:lang w:val="en-US" w:eastAsia="zh-CN"/>
          <w14:textFill>
            <w14:solidFill>
              <w14:schemeClr w14:val="tx1"/>
            </w14:solidFill>
          </w14:textFill>
        </w:rPr>
        <w:t>69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w:t>
      </w:r>
    </w:p>
    <w:p>
      <w:pPr>
        <w:autoSpaceDE w:val="0"/>
        <w:autoSpaceDN w:val="0"/>
        <w:adjustRightInd w:val="0"/>
        <w:spacing w:line="600" w:lineRule="exact"/>
        <w:ind w:firstLine="643" w:firstLineChars="200"/>
        <w:jc w:val="left"/>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bookmarkStart w:id="50" w:name="_Toc15377224"/>
      <w:r>
        <w:rPr>
          <w:rFonts w:hint="eastAsia" w:ascii="Times New Roman" w:hAnsi="Times New Roman" w:eastAsia="仿宋_GB2312" w:cs="仿宋_GB2312"/>
          <w:b/>
          <w:caps w:val="0"/>
          <w:color w:val="000000" w:themeColor="text1"/>
          <w:sz w:val="32"/>
          <w:szCs w:val="32"/>
          <w14:textFill>
            <w14:solidFill>
              <w14:schemeClr w14:val="tx1"/>
            </w14:solidFill>
          </w14:textFill>
        </w:rPr>
        <w:t>（三）国有资产占有使用情况</w:t>
      </w:r>
      <w:bookmarkEnd w:id="50"/>
    </w:p>
    <w:p>
      <w:pPr>
        <w:autoSpaceDE w:val="0"/>
        <w:autoSpaceDN w:val="0"/>
        <w:adjustRightInd w:val="0"/>
        <w:spacing w:line="600" w:lineRule="exact"/>
        <w:ind w:firstLine="640" w:firstLineChars="200"/>
        <w:jc w:val="left"/>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截至</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年</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12月31日，</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共有车辆</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辆，其中：</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副部（省）级及以上领导用车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辆、主要</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负责人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辆、机要通信用车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辆、应急保障用车</w:t>
      </w:r>
      <w:r>
        <w:rPr>
          <w:rFonts w:hint="eastAsia" w:cs="仿宋_GB2312"/>
          <w:color w:val="000000" w:themeColor="text1"/>
          <w:kern w:val="2"/>
          <w:sz w:val="32"/>
          <w:szCs w:val="32"/>
          <w:highlight w:val="none"/>
          <w:lang w:val="en-US" w:eastAsia="zh-CN" w:bidi="ar-SA"/>
          <w14:textFill>
            <w14:solidFill>
              <w14:schemeClr w14:val="tx1"/>
            </w14:solidFill>
          </w14:textFill>
        </w:rPr>
        <w:t>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辆、执法执勤用车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辆、特种专业技术用车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辆、离退休干部服务用车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辆、其他用车</w:t>
      </w:r>
      <w:r>
        <w:rPr>
          <w:rFonts w:hint="eastAsia"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w:t>
      </w:r>
      <w:r>
        <w:rPr>
          <w:rFonts w:hint="eastAsia" w:ascii="Times New Roman" w:hAnsi="Times New Roman" w:eastAsia="仿宋_GB2312"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单价100万元以上设备</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台。</w:t>
      </w:r>
    </w:p>
    <w:p>
      <w:pPr>
        <w:autoSpaceDE w:val="0"/>
        <w:autoSpaceDN w:val="0"/>
        <w:adjustRightInd w:val="0"/>
        <w:spacing w:line="600" w:lineRule="exact"/>
        <w:ind w:firstLine="643" w:firstLineChars="200"/>
        <w:jc w:val="left"/>
        <w:outlineLvl w:val="2"/>
        <w:rPr>
          <w:rFonts w:hint="eastAsia" w:ascii="Times New Roman" w:hAnsi="Times New Roman" w:eastAsia="仿宋_GB2312" w:cs="仿宋_GB2312"/>
          <w:b/>
          <w:caps w:val="0"/>
          <w:color w:val="000000" w:themeColor="text1"/>
          <w:sz w:val="32"/>
          <w:szCs w:val="32"/>
          <w14:textFill>
            <w14:solidFill>
              <w14:schemeClr w14:val="tx1"/>
            </w14:solidFill>
          </w14:textFill>
        </w:rPr>
      </w:pPr>
      <w:r>
        <w:rPr>
          <w:rFonts w:hint="eastAsia" w:ascii="Times New Roman" w:hAnsi="Times New Roman" w:eastAsia="仿宋_GB2312" w:cs="仿宋_GB2312"/>
          <w:b/>
          <w:caps w:val="0"/>
          <w:color w:val="000000" w:themeColor="text1"/>
          <w:sz w:val="32"/>
          <w:szCs w:val="32"/>
          <w14:textFill>
            <w14:solidFill>
              <w14:schemeClr w14:val="tx1"/>
            </w14:solidFill>
          </w14:textFill>
        </w:rPr>
        <w:t>（四）预算绩效管理情况</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根据预算绩效管理要求，</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在202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年度，组织</w:t>
      </w:r>
      <w:r>
        <w:rPr>
          <w:rFonts w:hint="eastAsia" w:cs="仿宋_GB2312"/>
          <w:caps w:val="0"/>
          <w:color w:val="000000" w:themeColor="text1"/>
          <w:sz w:val="32"/>
          <w:szCs w:val="32"/>
          <w:highlight w:val="none"/>
          <w:lang w:eastAsia="zh-CN"/>
          <w14:textFill>
            <w14:solidFill>
              <w14:schemeClr w14:val="tx1"/>
            </w14:solidFill>
          </w14:textFill>
        </w:rPr>
        <w:t>组织</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对</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市委党校后勤保障工作经费、市委党校运行维护工作经费（财政专户管理资金）</w:t>
      </w:r>
      <w:r>
        <w:rPr>
          <w:rFonts w:hint="eastAsia" w:cs="仿宋_GB2312"/>
          <w:caps w:val="0"/>
          <w:color w:val="000000" w:themeColor="text1"/>
          <w:sz w:val="32"/>
          <w:szCs w:val="32"/>
          <w:highlight w:val="none"/>
          <w:lang w:eastAsia="zh-CN"/>
          <w14:textFill>
            <w14:solidFill>
              <w14:schemeClr w14:val="tx1"/>
            </w14:solidFill>
          </w14:textFill>
        </w:rPr>
        <w:t>等</w:t>
      </w:r>
      <w:r>
        <w:rPr>
          <w:rFonts w:hint="eastAsia" w:cs="仿宋_GB2312"/>
          <w:caps w:val="0"/>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个项目</w:t>
      </w:r>
      <w:r>
        <w:rPr>
          <w:rFonts w:hint="eastAsia" w:cs="仿宋_GB2312"/>
          <w:caps w:val="0"/>
          <w:color w:val="000000" w:themeColor="text1"/>
          <w:sz w:val="32"/>
          <w:szCs w:val="32"/>
          <w:highlight w:val="none"/>
          <w:lang w:eastAsia="zh-CN"/>
          <w14:textFill>
            <w14:solidFill>
              <w14:schemeClr w14:val="tx1"/>
            </w14:solidFill>
          </w14:textFill>
        </w:rPr>
        <w:t>涉及金额</w:t>
      </w:r>
      <w:r>
        <w:rPr>
          <w:rFonts w:hint="eastAsia" w:cs="仿宋_GB2312"/>
          <w:caps w:val="0"/>
          <w:color w:val="000000" w:themeColor="text1"/>
          <w:sz w:val="32"/>
          <w:szCs w:val="32"/>
          <w:highlight w:val="none"/>
          <w:lang w:val="en-US" w:eastAsia="zh-CN"/>
          <w14:textFill>
            <w14:solidFill>
              <w14:schemeClr w14:val="tx1"/>
            </w14:solidFill>
          </w14:textFill>
        </w:rPr>
        <w:t>1340.55</w:t>
      </w:r>
      <w:r>
        <w:rPr>
          <w:rFonts w:hint="eastAsia" w:cs="仿宋_GB2312"/>
          <w:caps w:val="0"/>
          <w:color w:val="000000" w:themeColor="text1"/>
          <w:sz w:val="32"/>
          <w:szCs w:val="32"/>
          <w:highlight w:val="none"/>
          <w:lang w:eastAsia="zh-CN"/>
          <w14:textFill>
            <w14:solidFill>
              <w14:schemeClr w14:val="tx1"/>
            </w14:solidFill>
          </w14:textFill>
        </w:rPr>
        <w:t>万元</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开展了事前绩效评估，对</w:t>
      </w:r>
      <w:r>
        <w:rPr>
          <w:rFonts w:hint="eastAsia" w:cs="仿宋_GB2312"/>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个项目编制了绩效目标，预算执行过程中，选取</w:t>
      </w:r>
      <w:r>
        <w:rPr>
          <w:rFonts w:hint="eastAsia" w:cs="仿宋_GB2312"/>
          <w:caps w:val="0"/>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个项目开展绩效监控。</w:t>
      </w:r>
    </w:p>
    <w:p>
      <w:pPr>
        <w:pStyle w:val="9"/>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组织对202</w:t>
      </w:r>
      <w:r>
        <w:rPr>
          <w:rFonts w:hint="eastAsia" w:cs="仿宋_GB2312"/>
          <w:caps w:val="0"/>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年度一般公共预算</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、政府性基金预算、国有资本经营预算、社会保险基金预算以及资本资产、债券资金等</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全面开展绩效自评，形成</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部门整体（含部门预算项目）绩效自评报告</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、市委党校教学科研培训经费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等专项预算项目绩效自评报告，其中，</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中国共产党自贡市委员会党校</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部门整体（含部门预算项目）绩效自评得分为</w:t>
      </w:r>
      <w:r>
        <w:rPr>
          <w:rFonts w:hint="eastAsia" w:cs="仿宋_GB2312"/>
          <w:caps w:val="0"/>
          <w:color w:val="000000" w:themeColor="text1"/>
          <w:sz w:val="32"/>
          <w:szCs w:val="32"/>
          <w:highlight w:val="none"/>
          <w:lang w:val="en-US" w:eastAsia="zh-CN"/>
          <w14:textFill>
            <w14:solidFill>
              <w14:schemeClr w14:val="tx1"/>
            </w14:solidFill>
          </w14:textFill>
        </w:rPr>
        <w:t>91.04</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202</w:t>
      </w:r>
      <w:r>
        <w:rPr>
          <w:rFonts w:hint="eastAsia" w:cs="仿宋_GB2312"/>
          <w:caps w:val="0"/>
          <w:color w:val="000000" w:themeColor="text1"/>
          <w:sz w:val="32"/>
          <w:szCs w:val="32"/>
          <w:highlight w:val="none"/>
          <w:lang w:val="en-US" w:eastAsia="zh-CN"/>
          <w14:textFill>
            <w14:solidFill>
              <w14:schemeClr w14:val="tx1"/>
            </w14:solidFill>
          </w14:textFill>
        </w:rPr>
        <w:t>5年度</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i w:val="0"/>
          <w:iCs w:val="0"/>
          <w:caps w:val="0"/>
          <w:color w:val="000000" w:themeColor="text1"/>
          <w:spacing w:val="0"/>
          <w:kern w:val="2"/>
          <w:sz w:val="32"/>
          <w:szCs w:val="32"/>
          <w:vertAlign w:val="baseline"/>
          <w:lang w:val="en-US" w:eastAsia="zh-CN" w:bidi="ar-SA"/>
          <w14:textFill>
            <w14:solidFill>
              <w14:schemeClr w14:val="tx1"/>
            </w14:solidFill>
          </w14:textFill>
        </w:rPr>
        <w:t>我校积极履职，强化管理，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运行总体平稳，</w:t>
      </w:r>
      <w:r>
        <w:rPr>
          <w:rFonts w:hint="eastAsia" w:ascii="Times New Roman" w:hAnsi="Times New Roman" w:cs="Times New Roman"/>
          <w:color w:val="000000" w:themeColor="text1"/>
          <w:sz w:val="32"/>
          <w:szCs w:val="32"/>
          <w:lang w:val="en-US" w:eastAsia="zh-CN"/>
          <w14:textFill>
            <w14:solidFill>
              <w14:schemeClr w14:val="tx1"/>
            </w14:solidFill>
          </w14:textFill>
        </w:rPr>
        <w:t>各项工作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有序推进</w:t>
      </w:r>
      <w:r>
        <w:rPr>
          <w:rFonts w:hint="eastAsia" w:ascii="Times New Roman" w:hAnsi="Times New Roman"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i w:val="0"/>
          <w:iCs w:val="0"/>
          <w:caps w:val="0"/>
          <w:color w:val="000000" w:themeColor="text1"/>
          <w:spacing w:val="0"/>
          <w:kern w:val="2"/>
          <w:sz w:val="32"/>
          <w:szCs w:val="32"/>
          <w:vertAlign w:val="baseline"/>
          <w:lang w:val="en-US" w:eastAsia="zh-CN" w:bidi="ar-SA"/>
          <w14:textFill>
            <w14:solidFill>
              <w14:schemeClr w14:val="tx1"/>
            </w14:solidFill>
          </w14:textFill>
        </w:rPr>
        <w:t>较好完成了年度工作目标。</w:t>
      </w:r>
      <w:r>
        <w:rPr>
          <w:rFonts w:hint="eastAsia" w:ascii="Times New Roman" w:hAnsi="Times New Roman" w:cs="Times New Roman"/>
          <w:color w:val="000000" w:themeColor="text1"/>
          <w:sz w:val="32"/>
          <w:szCs w:val="32"/>
          <w:lang w:val="en-US" w:eastAsia="zh-CN"/>
          <w14:textFill>
            <w14:solidFill>
              <w14:schemeClr w14:val="tx1"/>
            </w14:solidFill>
          </w14:textFill>
        </w:rPr>
        <w:t>我校认真对照部门整体绩效指标体系，对本部门绩效履职效能、预算管理、财务管理、资产管理、采购管理、项目决策、项目执行、目标实现等方面进行了客观评价</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，部门整体支出管理水平</w:t>
      </w:r>
      <w:r>
        <w:rPr>
          <w:rFonts w:hint="eastAsia" w:cs="仿宋_GB2312"/>
          <w:caps w:val="0"/>
          <w:color w:val="000000" w:themeColor="text1"/>
          <w:sz w:val="32"/>
          <w:szCs w:val="32"/>
          <w:highlight w:val="none"/>
          <w:lang w:val="en-US" w:eastAsia="zh-CN"/>
          <w14:textFill>
            <w14:solidFill>
              <w14:schemeClr w14:val="tx1"/>
            </w14:solidFill>
          </w14:textFill>
        </w:rPr>
        <w:t>稳步</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提升</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。中共自贡市委员会党校迁建项目</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分，绩效自评综述：各类设施设备使用率高，均能正常运行，能满足培训主阵地需求，未出现教职工投诉现象，满意度较高</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；市委党校运行维护工作经费（财政专户管理资金）</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按照省委党校在职研究生教育有关要求，自贡教学分部2025年全面完成了所有教学安排任务，日常管理规范高效，研究生办学质量得到各方普遍好评。学校严格按照绩效目标配备和完善相应设施，做好设施设备的日常维修维护，确保学校各项基本功能正常运转；市委党校教学科研培训经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本年度培训科研工作管理人员及教师63人，出刊《盐都论坛》4期，开展对外学术交流单位50个，科研工作有序开展，学术氛围日渐浓厚，为</w:t>
      </w:r>
      <w:r>
        <w:rPr>
          <w:rFonts w:hint="eastAsia" w:cs="仿宋_GB2312"/>
          <w:caps w:val="0"/>
          <w:color w:val="000000" w:themeColor="text1"/>
          <w:sz w:val="32"/>
          <w:szCs w:val="32"/>
          <w:highlight w:val="none"/>
          <w:lang w:eastAsia="zh-CN"/>
          <w14:textFill>
            <w14:solidFill>
              <w14:schemeClr w14:val="tx1"/>
            </w14:solidFill>
          </w14:textFill>
        </w:rPr>
        <w:t>市委、市政府</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科学决策提供重要参考，完成效果达到预期目标。在巩固传统图书服务基础上持续创新服务模式，与新华文轩合作构建“宿舍+教学楼”双空间阅读服务体系，初步形成门类齐全、精准服务的智慧阅读生态，进一步提高了图书服务水平；市委党校后勤保障工作经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做好校区设施设备的维修维护管理，如电梯定期维保、电子教学设备维护、电路定期检查等，确保学校各项功能正常运行。通过社会化购买物业服务，确保校区环境保洁、秩序管理、会议服务、水电工程、绿化养护等工作的高效进行，为教职员工和学员的工作、学习、生活等方面提供充足保障，完成效果达到预期目标；市委党校后勤运行经费（管理）</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市委党校场地使用费收入，2025年服务培训4117人次，60个班次，教学任务落实率100%，促进了党校的教学培训工作，完成效果达到预期目标；市委党校对外合作培训经费（管理）</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市委党校外训部2025年承接外来培训班33期，开展现场教学次数19次，按时完成对外培训年度任务，提升了党校外训知名度，学员满意度达到99.32%</w:t>
      </w:r>
      <w:r>
        <w:rPr>
          <w:rFonts w:hint="eastAsia" w:cs="仿宋_GB2312"/>
          <w:caps w:val="0"/>
          <w:color w:val="000000" w:themeColor="text1"/>
          <w:sz w:val="32"/>
          <w:szCs w:val="32"/>
          <w:highlight w:val="none"/>
          <w:lang w:val="en-US"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其他运转支出</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根据教职工的饮食习惯和营养需求，科学制定每周食谱，做到菜品荤素搭配、营养均衡，严格执行成本核算制度，强化食堂各项成本的控制和管理，对学校办学质量工作有较大提升，得到教职工的普遍好评</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2024年省级干部教育培训机构质量提升专项资金</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数量指标方面，新建LED屏幕、视频会议系统，完成四库建设、特色及重点课程打造、课题研究、管理系统开发、师资培训、专著教材、精品线路及典型案例等全部目标；质量指标中科研课题结项率及教师培训覆盖率均达100%。效益指标显示，项目有效提升了干部教育培训水平，有力服务地方经济社会发展。参训学员满意度高</w:t>
      </w:r>
      <w:bookmarkStart w:id="86" w:name="_GoBack"/>
      <w:bookmarkEnd w:id="86"/>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驻村第一书记和工作队补助经费</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专项预算项目绩效自评得分为</w:t>
      </w:r>
      <w:r>
        <w:rPr>
          <w:rFonts w:hint="eastAsia" w:ascii="Times New Roman" w:hAnsi="Times New Roman" w:cs="仿宋_GB2312"/>
          <w:caps w:val="0"/>
          <w:color w:val="000000" w:themeColor="text1"/>
          <w:sz w:val="32"/>
          <w:szCs w:val="32"/>
          <w:highlight w:val="none"/>
          <w:lang w:val="en-US" w:eastAsia="zh-CN"/>
          <w14:textFill>
            <w14:solidFill>
              <w14:schemeClr w14:val="tx1"/>
            </w14:solidFill>
          </w14:textFill>
        </w:rPr>
        <w:t>100</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分，绩效自评综述：市委党校选优配强一名驻村第一书记到大安区新民镇白果冲村工作，加强对驻村第一书记日常管理和关心关爱，按规定保障工作经费和补贴。充分发挥党校职能优势，积极履行驻村第一书记职责，服从所在乡镇党委工作安排，与村</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两委</w:t>
      </w:r>
      <w:r>
        <w:rPr>
          <w:rFonts w:hint="eastAsia" w:ascii="Times New Roman" w:hAnsi="Times New Roman" w:cs="仿宋_GB2312"/>
          <w:cap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aps w:val="0"/>
          <w:color w:val="000000" w:themeColor="text1"/>
          <w:sz w:val="32"/>
          <w:szCs w:val="32"/>
          <w:highlight w:val="none"/>
          <w14:textFill>
            <w14:solidFill>
              <w14:schemeClr w14:val="tx1"/>
            </w14:solidFill>
          </w14:textFill>
        </w:rPr>
        <w:t>、驻村工作队员等形成工作合力，共同推进各项工作。绩效自评报告详见附件。</w:t>
      </w:r>
    </w:p>
    <w:p>
      <w:pPr>
        <w:pStyle w:val="9"/>
        <w:ind w:left="0" w:leftChars="0" w:firstLine="643" w:firstLineChars="200"/>
        <w:rPr>
          <w:rFonts w:hint="eastAsia" w:ascii="Times New Roman" w:hAnsi="Times New Roman" w:eastAsia="仿宋_GB2312" w:cs="仿宋_GB2312"/>
          <w:b/>
          <w:caps w:val="0"/>
          <w:color w:val="000000" w:themeColor="text1"/>
          <w:sz w:val="32"/>
          <w:szCs w:val="32"/>
          <w14:textFill>
            <w14:solidFill>
              <w14:schemeClr w14:val="tx1"/>
            </w14:solidFill>
          </w14:textFill>
        </w:rPr>
      </w:pPr>
      <w:r>
        <w:rPr>
          <w:rFonts w:hint="eastAsia" w:ascii="Times New Roman" w:hAnsi="Times New Roman" w:eastAsia="仿宋_GB2312" w:cs="仿宋_GB2312"/>
          <w:b/>
          <w:caps w:val="0"/>
          <w:color w:val="000000" w:themeColor="text1"/>
          <w:sz w:val="32"/>
          <w:szCs w:val="32"/>
          <w14:textFill>
            <w14:solidFill>
              <w14:schemeClr w14:val="tx1"/>
            </w14:solidFill>
          </w14:textFill>
        </w:rPr>
        <w:br w:type="page"/>
      </w:r>
    </w:p>
    <w:p>
      <w:pPr>
        <w:numPr>
          <w:ilvl w:val="0"/>
          <w:numId w:val="3"/>
        </w:numPr>
        <w:spacing w:line="600" w:lineRule="exact"/>
        <w:ind w:firstLine="660" w:firstLineChars="150"/>
        <w:jc w:val="center"/>
        <w:outlineLvl w:val="0"/>
        <w:rPr>
          <w:rStyle w:val="23"/>
          <w:rFonts w:ascii="Times New Roman" w:hAnsi="Times New Roman" w:eastAsia="黑体"/>
          <w:b w:val="0"/>
          <w:caps w:val="0"/>
          <w:color w:val="000000" w:themeColor="text1"/>
          <w14:textFill>
            <w14:solidFill>
              <w14:schemeClr w14:val="tx1"/>
            </w14:solidFill>
          </w14:textFill>
        </w:rPr>
      </w:pPr>
      <w:bookmarkStart w:id="51" w:name="_Toc15377225"/>
      <w:bookmarkStart w:id="52" w:name="_Toc15396613"/>
      <w:bookmarkStart w:id="53" w:name="_Toc6447"/>
      <w:r>
        <w:rPr>
          <w:rFonts w:hint="eastAsia" w:ascii="Times New Roman" w:hAnsi="Times New Roman" w:eastAsia="黑体"/>
          <w:caps w:val="0"/>
          <w:color w:val="000000" w:themeColor="text1"/>
          <w:sz w:val="44"/>
          <w:szCs w:val="44"/>
          <w14:textFill>
            <w14:solidFill>
              <w14:schemeClr w14:val="tx1"/>
            </w14:solidFill>
          </w14:textFill>
        </w:rPr>
        <w:t>名</w:t>
      </w:r>
      <w:r>
        <w:rPr>
          <w:rStyle w:val="23"/>
          <w:rFonts w:hint="eastAsia" w:ascii="Times New Roman" w:hAnsi="Times New Roman" w:eastAsia="黑体"/>
          <w:b w:val="0"/>
          <w:caps w:val="0"/>
          <w:color w:val="000000" w:themeColor="text1"/>
          <w14:textFill>
            <w14:solidFill>
              <w14:schemeClr w14:val="tx1"/>
            </w14:solidFill>
          </w14:textFill>
        </w:rPr>
        <w:t>词解释</w:t>
      </w:r>
      <w:bookmarkEnd w:id="51"/>
      <w:bookmarkEnd w:id="52"/>
      <w:bookmarkEnd w:id="53"/>
    </w:p>
    <w:p>
      <w:pPr>
        <w:spacing w:line="600" w:lineRule="exact"/>
        <w:jc w:val="left"/>
        <w:rPr>
          <w:rFonts w:ascii="Times New Roman" w:hAnsi="Times New Roman"/>
          <w:b/>
          <w:caps w:val="0"/>
          <w:color w:val="000000" w:themeColor="text1"/>
          <w:sz w:val="44"/>
          <w:szCs w:val="44"/>
          <w14:textFill>
            <w14:solidFill>
              <w14:schemeClr w14:val="tx1"/>
            </w14:solidFill>
          </w14:textFill>
        </w:rPr>
      </w:pPr>
    </w:p>
    <w:p>
      <w:pPr>
        <w:pStyle w:val="26"/>
        <w:spacing w:line="560" w:lineRule="exact"/>
        <w:ind w:firstLine="640" w:firstLineChars="200"/>
        <w:rPr>
          <w:rFonts w:ascii="Times New Roman" w:hAnsi="Times New Roman" w:eastAsia="仿宋_GB2312"/>
          <w:caps w:val="0"/>
          <w:color w:val="000000" w:themeColor="text1"/>
          <w:sz w:val="32"/>
          <w:szCs w:val="32"/>
          <w:highlight w:val="none"/>
          <w14:textFill>
            <w14:solidFill>
              <w14:schemeClr w14:val="tx1"/>
            </w14:solidFill>
          </w14:textFill>
        </w:rPr>
      </w:pPr>
      <w:bookmarkStart w:id="54" w:name="_Toc15377226"/>
      <w:r>
        <w:rPr>
          <w:rFonts w:ascii="Times New Roman" w:hAnsi="Times New Roman" w:eastAsia="仿宋_GB2312"/>
          <w:caps w:val="0"/>
          <w:color w:val="000000" w:themeColor="text1"/>
          <w:sz w:val="32"/>
          <w:szCs w:val="32"/>
          <w:highlight w:val="none"/>
          <w14:textFill>
            <w14:solidFill>
              <w14:schemeClr w14:val="tx1"/>
            </w14:solidFill>
          </w14:textFill>
        </w:rPr>
        <w:t>1.</w:t>
      </w:r>
      <w:r>
        <w:rPr>
          <w:rFonts w:hint="eastAsia" w:ascii="Times New Roman" w:hAnsi="Times New Roman" w:eastAsia="仿宋_GB2312"/>
          <w:caps w:val="0"/>
          <w:color w:val="000000" w:themeColor="text1"/>
          <w:sz w:val="32"/>
          <w:szCs w:val="32"/>
          <w:highlight w:val="none"/>
          <w14:textFill>
            <w14:solidFill>
              <w14:schemeClr w14:val="tx1"/>
            </w14:solidFill>
          </w14:textFill>
        </w:rPr>
        <w:t>财政拨款收入：指单位从同级财政部门取得的财政预算资金。</w:t>
      </w:r>
    </w:p>
    <w:p>
      <w:pPr>
        <w:pStyle w:val="26"/>
        <w:spacing w:line="560" w:lineRule="exact"/>
        <w:ind w:firstLine="640" w:firstLineChars="200"/>
        <w:rPr>
          <w:rFonts w:ascii="Times New Roman" w:hAnsi="Times New Roman" w:eastAsia="仿宋_GB2312"/>
          <w:caps w:val="0"/>
          <w:color w:val="000000" w:themeColor="text1"/>
          <w:sz w:val="32"/>
          <w:szCs w:val="32"/>
          <w:highlight w:val="none"/>
          <w14:textFill>
            <w14:solidFill>
              <w14:schemeClr w14:val="tx1"/>
            </w14:solidFill>
          </w14:textFill>
        </w:rPr>
      </w:pPr>
      <w:r>
        <w:rPr>
          <w:rFonts w:ascii="Times New Roman" w:hAnsi="Times New Roman" w:eastAsia="仿宋_GB2312"/>
          <w:caps w:val="0"/>
          <w:color w:val="000000" w:themeColor="text1"/>
          <w:sz w:val="32"/>
          <w:szCs w:val="32"/>
          <w:highlight w:val="none"/>
          <w14:textFill>
            <w14:solidFill>
              <w14:schemeClr w14:val="tx1"/>
            </w14:solidFill>
          </w14:textFill>
        </w:rPr>
        <w:t>2.</w:t>
      </w:r>
      <w:r>
        <w:rPr>
          <w:rFonts w:hint="eastAsia" w:ascii="Times New Roman" w:hAnsi="Times New Roman" w:eastAsia="仿宋_GB2312"/>
          <w:caps w:val="0"/>
          <w:color w:val="000000" w:themeColor="text1"/>
          <w:sz w:val="32"/>
          <w:szCs w:val="32"/>
          <w:highlight w:val="none"/>
          <w14:textFill>
            <w14:solidFill>
              <w14:schemeClr w14:val="tx1"/>
            </w14:solidFill>
          </w14:textFill>
        </w:rPr>
        <w:t>事业收入：指事业单位开展专业业务活动及辅助活动取得的收入。如</w:t>
      </w:r>
      <w:r>
        <w:rPr>
          <w:rFonts w:hint="eastAsia" w:ascii="Times New Roman" w:hAnsi="Times New Roman" w:eastAsia="仿宋_GB2312"/>
          <w:caps w:val="0"/>
          <w:color w:val="000000" w:themeColor="text1"/>
          <w:sz w:val="32"/>
          <w:szCs w:val="32"/>
          <w:highlight w:val="none"/>
          <w:lang w:eastAsia="zh-CN"/>
          <w14:textFill>
            <w14:solidFill>
              <w14:schemeClr w14:val="tx1"/>
            </w14:solidFill>
          </w14:textFill>
        </w:rPr>
        <w:t>委托培养在职研究生学费</w:t>
      </w:r>
      <w:r>
        <w:rPr>
          <w:rFonts w:hint="eastAsia" w:ascii="Times New Roman" w:hAnsi="Times New Roman" w:eastAsia="仿宋_GB2312"/>
          <w:caps w:val="0"/>
          <w:color w:val="000000" w:themeColor="text1"/>
          <w:sz w:val="32"/>
          <w:szCs w:val="32"/>
          <w:highlight w:val="none"/>
          <w14:textFill>
            <w14:solidFill>
              <w14:schemeClr w14:val="tx1"/>
            </w14:solidFill>
          </w14:textFill>
        </w:rPr>
        <w:t>等。</w:t>
      </w:r>
    </w:p>
    <w:p>
      <w:pPr>
        <w:spacing w:line="600" w:lineRule="exact"/>
        <w:ind w:firstLine="640"/>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3.一般公共服务（类）组织事务（款）其他组织事务（项）：指2024年省级干部教育培训机构质量提升专项资金的支出。</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4.教育（类）进修及培训（款）干部教育（项）：指党校、行政学院、社会主义学院的支出。包括机构运转、招聘师资、举办各类培训班的支出等。</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5.社会保障和就业（类）行政事业单位养老（款）事业单位离退休（项）：指实行归口管理的事业单位开支的离退休经费。</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6.社会保障和就业（类）行政事业单位养老（款）机关事业单位基本养老保险缴费（项）：指机关事业单位实施养老保险制度由单位缴纳的基本养老保险费支出。</w:t>
      </w:r>
    </w:p>
    <w:p>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7.社会保障和就业（类）行政事业单位养老（款）机关事业单位职业年金缴费（项）：指机关事业单位</w:t>
      </w:r>
      <w:r>
        <w:rPr>
          <w:rFonts w:hint="default"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实施养老保险制度由单位缴纳的职业年金支出。</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8.社会保障和就业（类）抚恤（款）死亡抚恤（项）:指退休人员去世一次性抚恤金及丧葬补助。</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9.卫生健康（类）行政事业单位医疗（款）事业单位医疗（项）：指财政部门安排的事业单位医疗缴费经费。</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10.卫生健康（类）行政事业单位医疗（款）公务员医疗补助（项）:指财政部门安排的公务员医疗补助经费。</w:t>
      </w:r>
    </w:p>
    <w:p>
      <w:pPr>
        <w:pStyle w:val="26"/>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11.住房保障（类）住房改革（款）住房公积金（项）：指单位按人力资源和社会保障部、财政部规定的基本工资和津贴补贴及规定比例为职工缴纳的住房公积金。</w:t>
      </w:r>
    </w:p>
    <w:p>
      <w:pPr>
        <w:ind w:firstLine="640" w:firstLineChars="200"/>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12.基本支出：指为保障机构正常运转、完成日常工作任务而发生的人员支出和公用支出。</w:t>
      </w:r>
    </w:p>
    <w:p>
      <w:pPr>
        <w:ind w:firstLine="640" w:firstLineChars="200"/>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 xml:space="preserve">13.项目支出：指在基本支出之外为完成特定行政任务和事业发展目标所发生的支出。 </w:t>
      </w:r>
    </w:p>
    <w:p>
      <w:pPr>
        <w:pStyle w:val="26"/>
        <w:spacing w:line="560" w:lineRule="exact"/>
        <w:ind w:firstLine="640" w:firstLineChars="200"/>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15.机关运行经费：为保障行政单位（含参照公务员法管理的事业单位）运行用于购买货物和服务的各项资金，包括办公及印刷费、邮电费、差旅费、会议费、福利费、日常维修费、一般设备购置费、办公用房水电费、办公用房物业管理费、公务用车运行维护费以及其他费用。</w:t>
      </w:r>
    </w:p>
    <w:p>
      <w:pPr>
        <w:spacing w:line="600" w:lineRule="exact"/>
        <w:jc w:val="center"/>
        <w:outlineLvl w:val="0"/>
        <w:rPr>
          <w:rStyle w:val="23"/>
          <w:rFonts w:ascii="Times New Roman" w:hAnsi="Times New Roman" w:eastAsia="黑体"/>
          <w:b w:val="0"/>
          <w:caps w:val="0"/>
          <w:color w:val="000000" w:themeColor="text1"/>
          <w14:textFill>
            <w14:solidFill>
              <w14:schemeClr w14:val="tx1"/>
            </w14:solidFill>
          </w14:textFill>
        </w:rPr>
      </w:pPr>
      <w:bookmarkStart w:id="55" w:name="_Toc17220"/>
      <w:bookmarkStart w:id="56" w:name="_Toc15396614"/>
      <w:r>
        <w:rPr>
          <w:rFonts w:hint="eastAsia" w:ascii="Times New Roman" w:hAnsi="Times New Roman" w:eastAsia="黑体"/>
          <w:caps w:val="0"/>
          <w:color w:val="000000" w:themeColor="text1"/>
          <w:sz w:val="44"/>
          <w:szCs w:val="44"/>
          <w14:textFill>
            <w14:solidFill>
              <w14:schemeClr w14:val="tx1"/>
            </w14:solidFill>
          </w14:textFill>
        </w:rPr>
        <w:t>第</w:t>
      </w:r>
      <w:r>
        <w:rPr>
          <w:rStyle w:val="23"/>
          <w:rFonts w:hint="eastAsia" w:ascii="Times New Roman" w:hAnsi="Times New Roman" w:eastAsia="黑体"/>
          <w:b w:val="0"/>
          <w:caps w:val="0"/>
          <w:color w:val="000000" w:themeColor="text1"/>
          <w14:textFill>
            <w14:solidFill>
              <w14:schemeClr w14:val="tx1"/>
            </w14:solidFill>
          </w14:textFill>
        </w:rPr>
        <w:t>四部分</w:t>
      </w:r>
      <w:r>
        <w:rPr>
          <w:rStyle w:val="23"/>
          <w:rFonts w:ascii="Times New Roman" w:hAnsi="Times New Roman" w:eastAsia="黑体"/>
          <w:b w:val="0"/>
          <w:caps w:val="0"/>
          <w:color w:val="000000" w:themeColor="text1"/>
          <w14:textFill>
            <w14:solidFill>
              <w14:schemeClr w14:val="tx1"/>
            </w14:solidFill>
          </w14:textFill>
        </w:rPr>
        <w:t xml:space="preserve"> </w:t>
      </w:r>
      <w:r>
        <w:rPr>
          <w:rStyle w:val="23"/>
          <w:rFonts w:hint="eastAsia" w:ascii="Times New Roman" w:hAnsi="Times New Roman" w:eastAsia="黑体"/>
          <w:b w:val="0"/>
          <w:caps w:val="0"/>
          <w:color w:val="000000" w:themeColor="text1"/>
          <w14:textFill>
            <w14:solidFill>
              <w14:schemeClr w14:val="tx1"/>
            </w14:solidFill>
          </w14:textFill>
        </w:rPr>
        <w:t>附件</w:t>
      </w:r>
      <w:bookmarkEnd w:id="55"/>
      <w:bookmarkEnd w:id="56"/>
    </w:p>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aps w:val="0"/>
          <w:color w:val="000000" w:themeColor="text1"/>
          <w:sz w:val="44"/>
          <w:szCs w:val="44"/>
          <w:highlight w:val="none"/>
          <w:lang w:val="en-US" w:eastAsia="zh-CN"/>
          <w14:textFill>
            <w14:solidFill>
              <w14:schemeClr w14:val="tx1"/>
            </w14:solidFill>
          </w14:textFill>
        </w:rPr>
      </w:pPr>
      <w:r>
        <w:rPr>
          <w:rFonts w:hint="eastAsia" w:ascii="Times New Roman" w:hAnsi="Times New Roman" w:eastAsia="黑体" w:cs="黑体"/>
          <w:caps w:val="0"/>
          <w:color w:val="000000" w:themeColor="text1"/>
          <w:sz w:val="32"/>
          <w:szCs w:val="32"/>
          <w:highlight w:val="none"/>
          <w14:textFill>
            <w14:solidFill>
              <w14:schemeClr w14:val="tx1"/>
            </w14:solidFill>
          </w14:textFill>
        </w:rPr>
        <w:t>附件</w:t>
      </w:r>
      <w:r>
        <w:rPr>
          <w:rFonts w:hint="eastAsia" w:ascii="Times New Roman" w:hAnsi="Times New Roman" w:eastAsia="黑体" w:cs="黑体"/>
          <w:caps w:val="0"/>
          <w:color w:val="000000" w:themeColor="text1"/>
          <w:sz w:val="32"/>
          <w:szCs w:val="32"/>
          <w:highlight w:val="none"/>
          <w:lang w:val="en-US" w:eastAsia="zh-CN"/>
          <w14:textFill>
            <w14:solidFill>
              <w14:schemeClr w14:val="tx1"/>
            </w14:solidFill>
          </w14:textFill>
        </w:rPr>
        <w:t>1</w:t>
      </w:r>
    </w:p>
    <w:p>
      <w:pPr>
        <w:keepNext w:val="0"/>
        <w:keepLines w:val="0"/>
        <w:pageBreakBefore w:val="0"/>
        <w:widowControl w:val="0"/>
        <w:suppressLineNumbers w:val="0"/>
        <w:kinsoku/>
        <w:wordWrap/>
        <w:overflowPunct/>
        <w:topLinePunct w:val="0"/>
        <w:autoSpaceDE/>
        <w:autoSpaceDN/>
        <w:bidi w:val="0"/>
        <w:spacing w:beforeAutospacing="0" w:after="0" w:afterAutospacing="0" w:line="592" w:lineRule="exact"/>
        <w:ind w:left="0" w:right="0"/>
        <w:jc w:val="center"/>
        <w:textAlignment w:val="auto"/>
        <w:rPr>
          <w:rFonts w:hint="eastAsia" w:ascii="Times New Roman" w:hAnsi="Times New Roman" w:eastAsia="方正小标宋简体" w:cs="Times New Roman"/>
          <w:i w:val="0"/>
          <w:iCs w:val="0"/>
          <w:caps w:val="0"/>
          <w:color w:val="000000" w:themeColor="text1"/>
          <w:kern w:val="0"/>
          <w:sz w:val="36"/>
          <w:szCs w:val="36"/>
          <w:lang w:eastAsia="zh-CN" w:bidi="ar"/>
          <w14:textFill>
            <w14:solidFill>
              <w14:schemeClr w14:val="tx1"/>
            </w14:solidFill>
          </w14:textFill>
        </w:rPr>
      </w:pPr>
      <w:r>
        <w:rPr>
          <w:rFonts w:hint="eastAsia" w:ascii="Times New Roman" w:hAnsi="Times New Roman" w:eastAsia="方正小标宋简体" w:cs="Times New Roman"/>
          <w:i w:val="0"/>
          <w:iCs w:val="0"/>
          <w:caps w:val="0"/>
          <w:color w:val="000000" w:themeColor="text1"/>
          <w:kern w:val="0"/>
          <w:sz w:val="36"/>
          <w:szCs w:val="36"/>
          <w:lang w:val="en-US" w:eastAsia="zh-CN" w:bidi="ar"/>
          <w14:textFill>
            <w14:solidFill>
              <w14:schemeClr w14:val="tx1"/>
            </w14:solidFill>
          </w14:textFill>
        </w:rPr>
        <w:t>部门</w:t>
      </w:r>
      <w:r>
        <w:rPr>
          <w:rFonts w:hint="eastAsia" w:eastAsia="方正小标宋简体" w:cs="Times New Roman"/>
          <w:i w:val="0"/>
          <w:iCs w:val="0"/>
          <w:caps w:val="0"/>
          <w:color w:val="000000" w:themeColor="text1"/>
          <w:kern w:val="0"/>
          <w:sz w:val="36"/>
          <w:szCs w:val="36"/>
          <w:lang w:val="en-US" w:eastAsia="zh-CN" w:bidi="ar"/>
          <w14:textFill>
            <w14:solidFill>
              <w14:schemeClr w14:val="tx1"/>
            </w14:solidFill>
          </w14:textFill>
        </w:rPr>
        <w:t>预算</w:t>
      </w:r>
      <w:r>
        <w:rPr>
          <w:rFonts w:hint="eastAsia" w:ascii="Times New Roman" w:hAnsi="Times New Roman" w:eastAsia="方正小标宋简体" w:cs="Times New Roman"/>
          <w:i w:val="0"/>
          <w:iCs w:val="0"/>
          <w:caps w:val="0"/>
          <w:color w:val="000000" w:themeColor="text1"/>
          <w:kern w:val="0"/>
          <w:sz w:val="36"/>
          <w:szCs w:val="36"/>
          <w:lang w:eastAsia="zh-CN" w:bidi="ar"/>
          <w14:textFill>
            <w14:solidFill>
              <w14:schemeClr w14:val="tx1"/>
            </w14:solidFill>
          </w14:textFill>
        </w:rPr>
        <w:t>绩效</w:t>
      </w:r>
      <w:r>
        <w:rPr>
          <w:rFonts w:hint="eastAsia" w:eastAsia="方正小标宋简体" w:cs="Times New Roman"/>
          <w:i w:val="0"/>
          <w:iCs w:val="0"/>
          <w:caps w:val="0"/>
          <w:color w:val="000000" w:themeColor="text1"/>
          <w:kern w:val="0"/>
          <w:sz w:val="36"/>
          <w:szCs w:val="36"/>
          <w:lang w:eastAsia="zh-CN" w:bidi="ar"/>
          <w14:textFill>
            <w14:solidFill>
              <w14:schemeClr w14:val="tx1"/>
            </w14:solidFill>
          </w14:textFill>
        </w:rPr>
        <w:t>评价</w:t>
      </w:r>
      <w:r>
        <w:rPr>
          <w:rFonts w:hint="eastAsia" w:ascii="Times New Roman" w:hAnsi="Times New Roman" w:eastAsia="方正小标宋简体" w:cs="Times New Roman"/>
          <w:i w:val="0"/>
          <w:iCs w:val="0"/>
          <w:caps w:val="0"/>
          <w:color w:val="000000" w:themeColor="text1"/>
          <w:kern w:val="0"/>
          <w:sz w:val="36"/>
          <w:szCs w:val="36"/>
          <w:lang w:eastAsia="zh-CN" w:bidi="ar"/>
          <w14:textFill>
            <w14:solidFill>
              <w14:schemeClr w14:val="tx1"/>
            </w14:solidFill>
          </w14:textFill>
        </w:rPr>
        <w:t>报告</w:t>
      </w:r>
    </w:p>
    <w:p>
      <w:pPr>
        <w:keepNext w:val="0"/>
        <w:keepLines w:val="0"/>
        <w:pageBreakBefore w:val="0"/>
        <w:kinsoku/>
        <w:wordWrap/>
        <w:overflowPunct/>
        <w:topLinePunct w:val="0"/>
        <w:autoSpaceDE/>
        <w:autoSpaceDN/>
        <w:bidi w:val="0"/>
        <w:jc w:val="left"/>
        <w:textAlignment w:val="auto"/>
        <w:rPr>
          <w:rFonts w:ascii="Times New Roman" w:hAnsi="Times New Roman"/>
          <w:i w:val="0"/>
          <w:iCs w:val="0"/>
          <w:caps w:val="0"/>
          <w:color w:val="000000" w:themeColor="text1"/>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黑体" w:cs="宋体"/>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黑体" w:cs="宋体"/>
          <w:color w:val="000000" w:themeColor="text1"/>
          <w:kern w:val="0"/>
          <w:sz w:val="32"/>
          <w:szCs w:val="32"/>
          <w:highlight w:val="none"/>
          <w:shd w:val="clear" w:color="auto" w:fill="FFFFFF"/>
          <w:lang w:val="en-US" w:eastAsia="zh-CN"/>
          <w14:textFill>
            <w14:solidFill>
              <w14:schemeClr w14:val="tx1"/>
            </w14:solidFill>
          </w14:textFill>
        </w:rPr>
        <w:t>一、</w:t>
      </w:r>
      <w:r>
        <w:rPr>
          <w:rFonts w:hint="eastAsia" w:ascii="Times New Roman" w:hAnsi="Times New Roman" w:eastAsia="黑体" w:cs="宋体"/>
          <w:color w:val="000000" w:themeColor="text1"/>
          <w:kern w:val="0"/>
          <w:sz w:val="32"/>
          <w:szCs w:val="32"/>
          <w:highlight w:val="none"/>
          <w:shd w:val="clear" w:color="auto" w:fill="FFFFFF"/>
          <w:lang w:val="zh-CN"/>
          <w14:textFill>
            <w14:solidFill>
              <w14:schemeClr w14:val="tx1"/>
            </w14:solidFill>
          </w14:textFill>
        </w:rPr>
        <w:t>部门基本情况</w:t>
      </w:r>
    </w:p>
    <w:p>
      <w:pPr>
        <w:pStyle w:val="7"/>
        <w:adjustRightInd w:val="0"/>
        <w:snapToGrid w:val="0"/>
        <w:spacing w:line="580" w:lineRule="exact"/>
        <w:ind w:firstLine="675" w:firstLineChars="210"/>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t>（一）机构组成。</w:t>
      </w:r>
    </w:p>
    <w:p>
      <w:pPr>
        <w:pStyle w:val="7"/>
        <w:adjustRightInd w:val="0"/>
        <w:snapToGrid w:val="0"/>
        <w:spacing w:line="580" w:lineRule="exact"/>
        <w:ind w:firstLine="672" w:firstLineChars="210"/>
        <w:rPr>
          <w:rFonts w:hint="eastAsia" w:ascii="Times New Roman" w:hAnsi="Times New Roman" w:eastAsia="仿宋_GB2312" w:cs="Times New Roman"/>
          <w:bCs/>
          <w:i w:val="0"/>
          <w:iCs w:val="0"/>
          <w:color w:val="000000" w:themeColor="text1"/>
          <w:kern w:val="0"/>
          <w:sz w:val="32"/>
          <w:szCs w:val="32"/>
          <w:lang w:eastAsia="zh-CN"/>
          <w14:textFill>
            <w14:solidFill>
              <w14:schemeClr w14:val="tx1"/>
            </w14:solidFill>
          </w14:textFill>
        </w:rPr>
      </w:pPr>
      <w:r>
        <w:rPr>
          <w:rFonts w:hint="eastAsia" w:ascii="Times New Roman" w:hAnsi="Times New Roman" w:eastAsia="仿宋_GB2312" w:cs="Times New Roman"/>
          <w:bCs/>
          <w:i w:val="0"/>
          <w:iCs w:val="0"/>
          <w:color w:val="000000" w:themeColor="text1"/>
          <w:kern w:val="0"/>
          <w:sz w:val="32"/>
          <w:szCs w:val="32"/>
          <w:lang w:val="en-US" w:eastAsia="zh-CN"/>
          <w14:textFill>
            <w14:solidFill>
              <w14:schemeClr w14:val="tx1"/>
            </w14:solidFill>
          </w14:textFill>
        </w:rPr>
        <w:t>中国共产党自贡市委员会党校</w:t>
      </w:r>
      <w:r>
        <w:rPr>
          <w:rFonts w:hint="eastAsia" w:ascii="Times New Roman" w:hAnsi="Times New Roman" w:eastAsia="仿宋_GB2312" w:cs="仿宋_GB2312"/>
          <w:i w:val="0"/>
          <w:iCs w:val="0"/>
          <w:color w:val="000000" w:themeColor="text1"/>
          <w:sz w:val="32"/>
          <w:szCs w:val="32"/>
          <w14:textFill>
            <w14:solidFill>
              <w14:schemeClr w14:val="tx1"/>
            </w14:solidFill>
          </w14:textFill>
        </w:rPr>
        <w:t>下属二级预算单位</w:t>
      </w:r>
      <w:r>
        <w:rPr>
          <w:rFonts w:hint="eastAsia" w:ascii="Times New Roman" w:hAnsi="Times New Roman" w:cs="仿宋_GB2312"/>
          <w:i w:val="0"/>
          <w:iC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i w:val="0"/>
          <w:iCs w:val="0"/>
          <w:color w:val="000000" w:themeColor="text1"/>
          <w:sz w:val="32"/>
          <w:szCs w:val="32"/>
          <w14:textFill>
            <w14:solidFill>
              <w14:schemeClr w14:val="tx1"/>
            </w14:solidFill>
          </w14:textFill>
        </w:rPr>
        <w:t>个，其中行政单位</w:t>
      </w:r>
      <w:r>
        <w:rPr>
          <w:rFonts w:hint="eastAsia" w:ascii="Times New Roman" w:hAnsi="Times New Roman" w:cs="仿宋_GB2312"/>
          <w:i w:val="0"/>
          <w:iCs w:val="0"/>
          <w:color w:val="000000" w:themeColor="text1"/>
          <w:sz w:val="32"/>
          <w:szCs w:val="32"/>
          <w:lang w:val="en-US" w:eastAsia="zh-CN"/>
          <w14:textFill>
            <w14:solidFill>
              <w14:schemeClr w14:val="tx1"/>
            </w14:solidFill>
          </w14:textFill>
        </w:rPr>
        <w:t>0</w:t>
      </w:r>
      <w:r>
        <w:rPr>
          <w:rFonts w:hint="eastAsia" w:ascii="Times New Roman" w:hAnsi="Times New Roman" w:eastAsia="仿宋_GB2312" w:cs="仿宋_GB2312"/>
          <w:i w:val="0"/>
          <w:iCs w:val="0"/>
          <w:color w:val="000000" w:themeColor="text1"/>
          <w:sz w:val="32"/>
          <w:szCs w:val="32"/>
          <w14:textFill>
            <w14:solidFill>
              <w14:schemeClr w14:val="tx1"/>
            </w14:solidFill>
          </w14:textFill>
        </w:rPr>
        <w:t>个，参照公务员法管理的事业单位</w:t>
      </w:r>
      <w:r>
        <w:rPr>
          <w:rFonts w:hint="eastAsia" w:ascii="Times New Roman" w:hAnsi="Times New Roman" w:eastAsia="仿宋_GB2312" w:cs="仿宋_GB2312"/>
          <w:i w:val="0"/>
          <w:iC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i w:val="0"/>
          <w:iCs w:val="0"/>
          <w:color w:val="000000" w:themeColor="text1"/>
          <w:sz w:val="32"/>
          <w:szCs w:val="32"/>
          <w14:textFill>
            <w14:solidFill>
              <w14:schemeClr w14:val="tx1"/>
            </w14:solidFill>
          </w14:textFill>
        </w:rPr>
        <w:t>个，其他事业单位</w:t>
      </w:r>
      <w:r>
        <w:rPr>
          <w:rFonts w:hint="eastAsia" w:ascii="Times New Roman" w:hAnsi="Times New Roman" w:cs="仿宋_GB2312"/>
          <w:i w:val="0"/>
          <w:iCs w:val="0"/>
          <w:color w:val="000000" w:themeColor="text1"/>
          <w:sz w:val="32"/>
          <w:szCs w:val="32"/>
          <w:lang w:val="en-US" w:eastAsia="zh-CN"/>
          <w14:textFill>
            <w14:solidFill>
              <w14:schemeClr w14:val="tx1"/>
            </w14:solidFill>
          </w14:textFill>
        </w:rPr>
        <w:t>0</w:t>
      </w:r>
      <w:r>
        <w:rPr>
          <w:rFonts w:hint="eastAsia" w:ascii="Times New Roman" w:hAnsi="Times New Roman" w:eastAsia="仿宋_GB2312" w:cs="仿宋_GB2312"/>
          <w:i w:val="0"/>
          <w:iCs w:val="0"/>
          <w:color w:val="000000" w:themeColor="text1"/>
          <w:sz w:val="32"/>
          <w:szCs w:val="32"/>
          <w14:textFill>
            <w14:solidFill>
              <w14:schemeClr w14:val="tx1"/>
            </w14:solidFill>
          </w14:textFill>
        </w:rPr>
        <w:t>个。包括：</w:t>
      </w:r>
      <w:r>
        <w:rPr>
          <w:rFonts w:hint="eastAsia" w:ascii="Times New Roman" w:hAnsi="Times New Roman" w:eastAsia="仿宋_GB2312" w:cs="Times New Roman"/>
          <w:bCs/>
          <w:i w:val="0"/>
          <w:iCs w:val="0"/>
          <w:color w:val="000000" w:themeColor="text1"/>
          <w:kern w:val="0"/>
          <w:sz w:val="32"/>
          <w:szCs w:val="32"/>
          <w:lang w:val="en-US" w:eastAsia="zh-CN"/>
          <w14:textFill>
            <w14:solidFill>
              <w14:schemeClr w14:val="tx1"/>
            </w14:solidFill>
          </w14:textFill>
        </w:rPr>
        <w:t>中国共产党自贡市委员会党校</w:t>
      </w:r>
      <w:r>
        <w:rPr>
          <w:rFonts w:hint="eastAsia" w:ascii="Times New Roman" w:hAnsi="Times New Roman" w:eastAsia="仿宋_GB2312" w:cs="仿宋_GB2312"/>
          <w:i w:val="0"/>
          <w:iCs w:val="0"/>
          <w:color w:val="000000" w:themeColor="text1"/>
          <w:sz w:val="32"/>
          <w:szCs w:val="32"/>
          <w14:textFill>
            <w14:solidFill>
              <w14:schemeClr w14:val="tx1"/>
            </w14:solidFill>
          </w14:textFill>
        </w:rPr>
        <w:t>。</w:t>
      </w:r>
      <w:r>
        <w:rPr>
          <w:rFonts w:hint="eastAsia" w:ascii="Times New Roman" w:hAnsi="Times New Roman"/>
          <w:color w:val="000000" w:themeColor="text1"/>
          <w:sz w:val="32"/>
          <w:szCs w:val="32"/>
          <w14:textFill>
            <w14:solidFill>
              <w14:schemeClr w14:val="tx1"/>
            </w14:solidFill>
          </w14:textFill>
        </w:rPr>
        <w:t>内设办公室、财务科、</w:t>
      </w:r>
      <w:r>
        <w:rPr>
          <w:rFonts w:hint="eastAsia" w:ascii="Times New Roman" w:hAnsi="Times New Roman"/>
          <w:color w:val="000000" w:themeColor="text1"/>
          <w:sz w:val="32"/>
          <w:szCs w:val="32"/>
          <w:lang w:eastAsia="zh-CN"/>
          <w14:textFill>
            <w14:solidFill>
              <w14:schemeClr w14:val="tx1"/>
            </w14:solidFill>
          </w14:textFill>
        </w:rPr>
        <w:t>教务科、</w:t>
      </w:r>
      <w:r>
        <w:rPr>
          <w:rFonts w:hint="eastAsia" w:ascii="Times New Roman" w:hAnsi="Times New Roman"/>
          <w:color w:val="000000" w:themeColor="text1"/>
          <w:sz w:val="32"/>
          <w:szCs w:val="32"/>
          <w14:textFill>
            <w14:solidFill>
              <w14:schemeClr w14:val="tx1"/>
            </w14:solidFill>
          </w14:textFill>
        </w:rPr>
        <w:t>科研科、电教网络</w:t>
      </w:r>
      <w:r>
        <w:rPr>
          <w:rFonts w:hint="eastAsia" w:ascii="Times New Roman" w:hAnsi="Times New Roman"/>
          <w:color w:val="000000" w:themeColor="text1"/>
          <w:sz w:val="32"/>
          <w:szCs w:val="32"/>
          <w:lang w:eastAsia="zh-CN"/>
          <w14:textFill>
            <w14:solidFill>
              <w14:schemeClr w14:val="tx1"/>
            </w14:solidFill>
          </w14:textFill>
        </w:rPr>
        <w:t>室、组织</w:t>
      </w:r>
      <w:r>
        <w:rPr>
          <w:rFonts w:hint="eastAsia" w:ascii="Times New Roman" w:hAnsi="Times New Roman"/>
          <w:color w:val="000000" w:themeColor="text1"/>
          <w:sz w:val="32"/>
          <w:szCs w:val="32"/>
          <w14:textFill>
            <w14:solidFill>
              <w14:schemeClr w14:val="tx1"/>
            </w14:solidFill>
          </w14:textFill>
        </w:rPr>
        <w:t>人事科</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color w:val="000000" w:themeColor="text1"/>
          <w:sz w:val="32"/>
          <w:szCs w:val="32"/>
          <w14:textFill>
            <w14:solidFill>
              <w14:schemeClr w14:val="tx1"/>
            </w14:solidFill>
          </w14:textFill>
        </w:rPr>
        <w:t>后勤科、研究生管理科</w:t>
      </w:r>
      <w:r>
        <w:rPr>
          <w:rFonts w:hint="eastAsia" w:ascii="Times New Roman" w:hAnsi="Times New Roman"/>
          <w:color w:val="000000" w:themeColor="text1"/>
          <w:sz w:val="32"/>
          <w:szCs w:val="32"/>
          <w:lang w:eastAsia="zh-CN"/>
          <w14:textFill>
            <w14:solidFill>
              <w14:schemeClr w14:val="tx1"/>
            </w14:solidFill>
          </w14:textFill>
        </w:rPr>
        <w:t>（专业技术人员培训科）</w:t>
      </w:r>
      <w:r>
        <w:rPr>
          <w:rFonts w:hint="eastAsia" w:ascii="Times New Roman" w:hAnsi="Times New Roman"/>
          <w:color w:val="000000" w:themeColor="text1"/>
          <w:sz w:val="32"/>
          <w:szCs w:val="32"/>
          <w14:textFill>
            <w14:solidFill>
              <w14:schemeClr w14:val="tx1"/>
            </w14:solidFill>
          </w14:textFill>
        </w:rPr>
        <w:t>、培训科、对外合作培训部、研究室</w:t>
      </w:r>
      <w:r>
        <w:rPr>
          <w:rFonts w:hint="eastAsia" w:ascii="Times New Roman" w:hAnsi="Times New Roman"/>
          <w:color w:val="000000" w:themeColor="text1"/>
          <w:sz w:val="32"/>
          <w:szCs w:val="32"/>
          <w:lang w:eastAsia="zh-CN"/>
          <w14:textFill>
            <w14:solidFill>
              <w14:schemeClr w14:val="tx1"/>
            </w14:solidFill>
          </w14:textFill>
        </w:rPr>
        <w:t>、马克思主义理论和哲学</w:t>
      </w:r>
      <w:r>
        <w:rPr>
          <w:rFonts w:hint="eastAsia" w:ascii="Times New Roman" w:hAnsi="Times New Roman"/>
          <w:color w:val="000000" w:themeColor="text1"/>
          <w:sz w:val="32"/>
          <w:szCs w:val="32"/>
          <w14:textFill>
            <w14:solidFill>
              <w14:schemeClr w14:val="tx1"/>
            </w14:solidFill>
          </w14:textFill>
        </w:rPr>
        <w:t>教研室、</w:t>
      </w:r>
      <w:r>
        <w:rPr>
          <w:rFonts w:hint="eastAsia" w:ascii="Times New Roman" w:hAnsi="Times New Roman"/>
          <w:color w:val="000000" w:themeColor="text1"/>
          <w:sz w:val="32"/>
          <w:szCs w:val="32"/>
          <w:lang w:eastAsia="zh-CN"/>
          <w14:textFill>
            <w14:solidFill>
              <w14:schemeClr w14:val="tx1"/>
            </w14:solidFill>
          </w14:textFill>
        </w:rPr>
        <w:t>科学社会主义和党史党建教研室、公共</w:t>
      </w:r>
      <w:r>
        <w:rPr>
          <w:rFonts w:hint="eastAsia" w:ascii="Times New Roman" w:hAnsi="Times New Roman"/>
          <w:color w:val="000000" w:themeColor="text1"/>
          <w:sz w:val="32"/>
          <w:szCs w:val="32"/>
          <w14:textFill>
            <w14:solidFill>
              <w14:schemeClr w14:val="tx1"/>
            </w14:solidFill>
          </w14:textFill>
        </w:rPr>
        <w:t>管理</w:t>
      </w:r>
      <w:r>
        <w:rPr>
          <w:rFonts w:hint="eastAsia" w:ascii="Times New Roman" w:hAnsi="Times New Roman"/>
          <w:color w:val="000000" w:themeColor="text1"/>
          <w:sz w:val="32"/>
          <w:szCs w:val="32"/>
          <w:lang w:eastAsia="zh-CN"/>
          <w14:textFill>
            <w14:solidFill>
              <w14:schemeClr w14:val="tx1"/>
            </w14:solidFill>
          </w14:textFill>
        </w:rPr>
        <w:t>和法学</w:t>
      </w:r>
      <w:r>
        <w:rPr>
          <w:rFonts w:hint="eastAsia" w:ascii="Times New Roman" w:hAnsi="Times New Roman"/>
          <w:color w:val="000000" w:themeColor="text1"/>
          <w:sz w:val="32"/>
          <w:szCs w:val="32"/>
          <w14:textFill>
            <w14:solidFill>
              <w14:schemeClr w14:val="tx1"/>
            </w14:solidFill>
          </w14:textFill>
        </w:rPr>
        <w:t>教研室、</w:t>
      </w:r>
      <w:r>
        <w:rPr>
          <w:rFonts w:hint="eastAsia" w:ascii="Times New Roman" w:hAnsi="Times New Roman"/>
          <w:color w:val="000000" w:themeColor="text1"/>
          <w:sz w:val="32"/>
          <w:szCs w:val="32"/>
          <w:lang w:eastAsia="zh-CN"/>
          <w14:textFill>
            <w14:solidFill>
              <w14:schemeClr w14:val="tx1"/>
            </w14:solidFill>
          </w14:textFill>
        </w:rPr>
        <w:t>统一战线和</w:t>
      </w:r>
      <w:r>
        <w:rPr>
          <w:rFonts w:hint="eastAsia" w:ascii="Times New Roman" w:hAnsi="Times New Roman"/>
          <w:color w:val="000000" w:themeColor="text1"/>
          <w:sz w:val="32"/>
          <w:szCs w:val="32"/>
          <w14:textFill>
            <w14:solidFill>
              <w14:schemeClr w14:val="tx1"/>
            </w14:solidFill>
          </w14:textFill>
        </w:rPr>
        <w:t>经济学教研室</w:t>
      </w:r>
      <w:r>
        <w:rPr>
          <w:rFonts w:hint="eastAsia" w:ascii="Times New Roman" w:hAnsi="Times New Roman"/>
          <w:color w:val="000000" w:themeColor="text1"/>
          <w:sz w:val="32"/>
          <w:szCs w:val="32"/>
          <w:lang w:eastAsia="zh-CN"/>
          <w14:textFill>
            <w14:solidFill>
              <w14:schemeClr w14:val="tx1"/>
            </w14:solidFill>
          </w14:textFill>
        </w:rPr>
        <w:t>、社会文化和生态文明教研室</w:t>
      </w:r>
      <w:r>
        <w:rPr>
          <w:rFonts w:hint="eastAsia" w:ascii="Times New Roman" w:hAnsi="Times New Roman"/>
          <w:color w:val="000000" w:themeColor="text1"/>
          <w:sz w:val="32"/>
          <w:szCs w:val="32"/>
          <w14:textFill>
            <w14:solidFill>
              <w14:schemeClr w14:val="tx1"/>
            </w14:solidFill>
          </w14:textFill>
        </w:rPr>
        <w:t>等科室。</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t>（</w:t>
      </w:r>
      <w:r>
        <w:rPr>
          <w:rFonts w:hint="eastAsia" w:ascii="Times New Roman" w:hAnsi="Times New Roman" w:eastAsia="楷体_GB2312" w:cs="楷体_GB2312"/>
          <w:b/>
          <w:bCs/>
          <w:color w:val="000000" w:themeColor="text1"/>
          <w:kern w:val="0"/>
          <w:sz w:val="32"/>
          <w:szCs w:val="32"/>
          <w:highlight w:val="none"/>
          <w:shd w:val="clear" w:color="auto" w:fill="FFFFFF"/>
          <w:lang w:val="en-US" w:eastAsia="zh-CN"/>
          <w14:textFill>
            <w14:solidFill>
              <w14:schemeClr w14:val="tx1"/>
            </w14:solidFill>
          </w14:textFill>
        </w:rPr>
        <w:t>二）机</w:t>
      </w:r>
      <w:r>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t>构职能。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
          <w:caps w:val="0"/>
          <w:color w:val="000000" w:themeColor="text1"/>
          <w:kern w:val="0"/>
          <w:sz w:val="32"/>
          <w:szCs w:val="32"/>
          <w:highlight w:val="none"/>
          <w:lang w:val="en-US" w:eastAsia="zh-CN" w:bidi="ar-SA"/>
          <w14:textFill>
            <w14:solidFill>
              <w14:schemeClr w14:val="tx1"/>
            </w14:solidFill>
          </w14:textFill>
        </w:rPr>
        <w:t>中国共产党自贡市委员会党校为市委直属的参公管理的事业单位，主要职能：一是培训各级党政领导干部、公务员、国有企业领导人员、事业单位领导人员、年轻干部、理论宣传骨干、高层</w:t>
      </w:r>
      <w:r>
        <w:rPr>
          <w:rFonts w:hint="eastAsia" w:ascii="Times New Roman" w:hAnsi="Times New Roman" w:eastAsia="仿宋_GB2312"/>
          <w:color w:val="000000" w:themeColor="text1"/>
          <w:sz w:val="32"/>
          <w:szCs w:val="32"/>
          <w:lang w:eastAsia="zh-CN"/>
          <w14:textFill>
            <w14:solidFill>
              <w14:schemeClr w14:val="tx1"/>
            </w14:solidFill>
          </w14:textFill>
        </w:rPr>
        <w:t>次人才、基层干部、党员，开展党校系统师资培训</w:t>
      </w:r>
      <w:r>
        <w:rPr>
          <w:rFonts w:hint="eastAsia" w:ascii="Times New Roman" w:hAnsi="Times New Roman" w:eastAsia="仿宋_GB2312"/>
          <w:color w:val="000000" w:themeColor="text1"/>
          <w:sz w:val="32"/>
          <w:szCs w:val="32"/>
          <w14:textFill>
            <w14:solidFill>
              <w14:schemeClr w14:val="tx1"/>
            </w14:solidFill>
          </w14:textFill>
        </w:rPr>
        <w:t>；二是</w:t>
      </w:r>
      <w:r>
        <w:rPr>
          <w:rFonts w:hint="eastAsia" w:ascii="Times New Roman" w:hAnsi="Times New Roman" w:eastAsia="仿宋_GB2312"/>
          <w:color w:val="000000" w:themeColor="text1"/>
          <w:sz w:val="32"/>
          <w:szCs w:val="32"/>
          <w:lang w:eastAsia="zh-CN"/>
          <w14:textFill>
            <w14:solidFill>
              <w14:schemeClr w14:val="tx1"/>
            </w14:solidFill>
          </w14:textFill>
        </w:rPr>
        <w:t>加强马克思主义基本理论研究，重点研究宣传习近平新时代中国特色社会主义思想</w:t>
      </w:r>
      <w:r>
        <w:rPr>
          <w:rFonts w:hint="eastAsia" w:ascii="Times New Roman" w:hAnsi="Times New Roman" w:eastAsia="仿宋_GB2312"/>
          <w:color w:val="000000" w:themeColor="text1"/>
          <w:sz w:val="32"/>
          <w:szCs w:val="32"/>
          <w14:textFill>
            <w14:solidFill>
              <w14:schemeClr w14:val="tx1"/>
            </w14:solidFill>
          </w14:textFill>
        </w:rPr>
        <w:t>；三是</w:t>
      </w:r>
      <w:r>
        <w:rPr>
          <w:rFonts w:hint="eastAsia" w:ascii="Times New Roman" w:hAnsi="Times New Roman" w:eastAsia="仿宋_GB2312"/>
          <w:color w:val="000000" w:themeColor="text1"/>
          <w:sz w:val="32"/>
          <w:szCs w:val="32"/>
          <w:lang w:eastAsia="zh-CN"/>
          <w14:textFill>
            <w14:solidFill>
              <w14:schemeClr w14:val="tx1"/>
            </w14:solidFill>
          </w14:textFill>
        </w:rPr>
        <w:t>承办</w:t>
      </w:r>
      <w:r>
        <w:rPr>
          <w:rFonts w:hint="eastAsia" w:ascii="Times New Roman" w:hAnsi="Times New Roman" w:eastAsia="仿宋_GB2312"/>
          <w:color w:val="000000" w:themeColor="text1"/>
          <w:sz w:val="32"/>
          <w:szCs w:val="32"/>
          <w14:textFill>
            <w14:solidFill>
              <w14:schemeClr w14:val="tx1"/>
            </w14:solidFill>
          </w14:textFill>
        </w:rPr>
        <w:t>市委、市政府</w:t>
      </w:r>
      <w:r>
        <w:rPr>
          <w:rFonts w:hint="eastAsia" w:ascii="Times New Roman" w:hAnsi="Times New Roman" w:eastAsia="仿宋_GB2312"/>
          <w:color w:val="000000" w:themeColor="text1"/>
          <w:sz w:val="32"/>
          <w:szCs w:val="32"/>
          <w:lang w:eastAsia="zh-CN"/>
          <w14:textFill>
            <w14:solidFill>
              <w14:schemeClr w14:val="tx1"/>
            </w14:solidFill>
          </w14:textFill>
        </w:rPr>
        <w:t>以及相关部门举办的专题</w:t>
      </w:r>
      <w:r>
        <w:rPr>
          <w:rFonts w:hint="eastAsia" w:ascii="Times New Roman" w:hAnsi="Times New Roman" w:eastAsia="仿宋_GB2312"/>
          <w:color w:val="000000" w:themeColor="text1"/>
          <w:sz w:val="32"/>
          <w:szCs w:val="32"/>
          <w14:textFill>
            <w14:solidFill>
              <w14:schemeClr w14:val="tx1"/>
            </w14:solidFill>
          </w14:textFill>
        </w:rPr>
        <w:t>研讨班</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四是</w:t>
      </w:r>
      <w:r>
        <w:rPr>
          <w:rFonts w:hint="eastAsia" w:ascii="Times New Roman" w:hAnsi="Times New Roman" w:eastAsia="仿宋_GB2312"/>
          <w:color w:val="000000" w:themeColor="text1"/>
          <w:sz w:val="32"/>
          <w:szCs w:val="32"/>
          <w:lang w:eastAsia="zh-CN"/>
          <w14:textFill>
            <w14:solidFill>
              <w14:schemeClr w14:val="tx1"/>
            </w14:solidFill>
          </w14:textFill>
        </w:rPr>
        <w:t>开展重大理论和现实问题研究，承担市委、市政府决策咨询服务</w:t>
      </w:r>
      <w:r>
        <w:rPr>
          <w:rFonts w:hint="eastAsia" w:ascii="Times New Roman" w:hAnsi="Times New Roman" w:eastAsia="仿宋_GB2312"/>
          <w:color w:val="000000" w:themeColor="text1"/>
          <w:sz w:val="32"/>
          <w:szCs w:val="32"/>
          <w14:textFill>
            <w14:solidFill>
              <w14:schemeClr w14:val="tx1"/>
            </w14:solidFill>
          </w14:textFill>
        </w:rPr>
        <w:t>；五是</w:t>
      </w:r>
      <w:r>
        <w:rPr>
          <w:rFonts w:hint="eastAsia" w:ascii="Times New Roman" w:hAnsi="Times New Roman" w:eastAsia="仿宋_GB2312"/>
          <w:color w:val="000000" w:themeColor="text1"/>
          <w:sz w:val="32"/>
          <w:szCs w:val="32"/>
          <w:lang w:eastAsia="zh-CN"/>
          <w14:textFill>
            <w14:solidFill>
              <w14:schemeClr w14:val="tx1"/>
            </w14:solidFill>
          </w14:textFill>
        </w:rPr>
        <w:t>以培养马克思主义理论人才为主要目标，在国家批准的学科和专业学位类别内开展学位研究生教育</w:t>
      </w:r>
      <w:r>
        <w:rPr>
          <w:rFonts w:hint="eastAsia" w:ascii="Times New Roman" w:hAnsi="Times New Roman" w:eastAsia="仿宋_GB2312"/>
          <w:color w:val="000000" w:themeColor="text1"/>
          <w:sz w:val="32"/>
          <w:szCs w:val="32"/>
          <w14:textFill>
            <w14:solidFill>
              <w14:schemeClr w14:val="tx1"/>
            </w14:solidFill>
          </w14:textFill>
        </w:rPr>
        <w:t>；六是</w:t>
      </w:r>
      <w:r>
        <w:rPr>
          <w:rFonts w:hint="eastAsia" w:ascii="Times New Roman" w:hAnsi="Times New Roman" w:eastAsia="仿宋_GB2312"/>
          <w:color w:val="000000" w:themeColor="text1"/>
          <w:sz w:val="32"/>
          <w:szCs w:val="32"/>
          <w:lang w:eastAsia="zh-CN"/>
          <w14:textFill>
            <w14:solidFill>
              <w14:schemeClr w14:val="tx1"/>
            </w14:solidFill>
          </w14:textFill>
        </w:rPr>
        <w:t>开展同国（境）内外有关机构和组织的合作与交流；七是参与市委关于党校工作政策以及干部培训计划的制定工作；八是完成</w:t>
      </w:r>
      <w:r>
        <w:rPr>
          <w:rFonts w:hint="eastAsia" w:ascii="Times New Roman" w:hAnsi="Times New Roman" w:eastAsia="仿宋_GB2312"/>
          <w:color w:val="000000" w:themeColor="text1"/>
          <w:sz w:val="32"/>
          <w:szCs w:val="32"/>
          <w14:textFill>
            <w14:solidFill>
              <w14:schemeClr w14:val="tx1"/>
            </w14:solidFill>
          </w14:textFill>
        </w:rPr>
        <w:t>市委交办的其他事项。</w:t>
      </w:r>
    </w:p>
    <w:p>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3" w:firstLineChars="200"/>
        <w:contextualSpacing/>
        <w:jc w:val="left"/>
        <w:textAlignment w:val="auto"/>
        <w:rPr>
          <w:rFonts w:hint="eastAsia" w:ascii="Times New Roman" w:hAnsi="Times New Roman" w:eastAsia="楷体_GB2312" w:cs="楷体_GB2312"/>
          <w:b/>
          <w:bCs/>
          <w:color w:val="000000" w:themeColor="text1"/>
          <w:kern w:val="0"/>
          <w:sz w:val="32"/>
          <w:szCs w:val="32"/>
          <w:shd w:val="clear" w:color="auto" w:fill="FFFFFF"/>
          <w:lang w:val="en-US" w:eastAsia="zh-CN"/>
          <w14:textFill>
            <w14:solidFill>
              <w14:schemeClr w14:val="tx1"/>
            </w14:solidFill>
          </w14:textFill>
        </w:rPr>
      </w:pPr>
      <w:r>
        <w:rPr>
          <w:rFonts w:hint="eastAsia" w:ascii="Times New Roman" w:hAnsi="Times New Roman" w:eastAsia="楷体_GB2312" w:cs="楷体_GB2312"/>
          <w:b/>
          <w:bCs/>
          <w:color w:val="000000" w:themeColor="text1"/>
          <w:kern w:val="0"/>
          <w:sz w:val="32"/>
          <w:szCs w:val="32"/>
          <w:shd w:val="clear" w:color="auto" w:fill="FFFFFF"/>
          <w:lang w:val="en-US" w:eastAsia="zh-CN"/>
          <w14:textFill>
            <w14:solidFill>
              <w14:schemeClr w14:val="tx1"/>
            </w14:solidFill>
          </w14:textFill>
        </w:rPr>
        <w:t>(三）</w:t>
      </w:r>
      <w:r>
        <w:rPr>
          <w:rFonts w:hint="eastAsia" w:ascii="Times New Roman" w:hAnsi="Times New Roman" w:eastAsia="楷体_GB2312" w:cs="楷体_GB2312"/>
          <w:b/>
          <w:bCs/>
          <w:color w:val="000000" w:themeColor="text1"/>
          <w:kern w:val="0"/>
          <w:sz w:val="32"/>
          <w:szCs w:val="32"/>
          <w:shd w:val="clear" w:color="auto" w:fill="FFFFFF"/>
          <w:lang w:val="zh-CN"/>
          <w14:textFill>
            <w14:solidFill>
              <w14:schemeClr w14:val="tx1"/>
            </w14:solidFill>
          </w14:textFill>
        </w:rPr>
        <w:t>人员</w:t>
      </w:r>
      <w:r>
        <w:rPr>
          <w:rFonts w:hint="eastAsia" w:ascii="Times New Roman" w:hAnsi="Times New Roman" w:eastAsia="仿宋_GB2312" w:cs="仿宋_GB2312"/>
          <w:b/>
          <w:bCs w:val="0"/>
          <w:color w:val="000000" w:themeColor="text1"/>
          <w:sz w:val="32"/>
          <w:szCs w:val="32"/>
          <w:lang w:val="zh-CN"/>
          <w14:textFill>
            <w14:solidFill>
              <w14:schemeClr w14:val="tx1"/>
            </w14:solidFill>
          </w14:textFill>
        </w:rPr>
        <w:t>概况</w:t>
      </w:r>
      <w:r>
        <w:rPr>
          <w:rFonts w:hint="eastAsia" w:ascii="Times New Roman" w:hAnsi="Times New Roman" w:eastAsia="楷体_GB2312" w:cs="楷体_GB2312"/>
          <w:b/>
          <w:bCs/>
          <w:color w:val="000000" w:themeColor="text1"/>
          <w:kern w:val="0"/>
          <w:sz w:val="32"/>
          <w:szCs w:val="32"/>
          <w:shd w:val="clear" w:color="auto" w:fill="FFFFFF"/>
          <w:lang w:val="en-US"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截至2025年末，中国共产党自贡市委员会党校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人员编制数85名。其中：参公管理行政编制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名，事业人员编制4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2025年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年末职工总人数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人，其中，在职职工人数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62</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人，比上年减少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人，主要是在职人员当年减少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退休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2人、调出1人、辞聘2人、去世1人）。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编外人员（劳务派遣）</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人，与上年持平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年在职职工年末人数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62</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人，其中，参公人员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人，事业人员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37</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人，比上年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68</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人。主要是在职人员当年退休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2人、调出1人、辞聘2人、去世1人。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由市社保代管退休人员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80</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人，与上年持平。</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黑体" w:cs="宋体"/>
          <w:color w:val="000000" w:themeColor="text1"/>
          <w:kern w:val="0"/>
          <w:sz w:val="32"/>
          <w:szCs w:val="32"/>
          <w:highlight w:val="none"/>
          <w:shd w:val="clear" w:color="auto" w:fill="FFFFFF"/>
          <w14:textFill>
            <w14:solidFill>
              <w14:schemeClr w14:val="tx1"/>
            </w14:solidFill>
          </w14:textFill>
        </w:rPr>
      </w:pPr>
      <w:r>
        <w:rPr>
          <w:rFonts w:hint="eastAsia" w:ascii="Times New Roman" w:hAnsi="Times New Roman" w:eastAsia="黑体" w:cs="宋体"/>
          <w:color w:val="000000" w:themeColor="text1"/>
          <w:kern w:val="0"/>
          <w:sz w:val="32"/>
          <w:szCs w:val="32"/>
          <w:highlight w:val="none"/>
          <w:shd w:val="clear" w:color="auto" w:fill="FFFFFF"/>
          <w14:textFill>
            <w14:solidFill>
              <w14:schemeClr w14:val="tx1"/>
            </w14:solidFill>
          </w14:textFill>
        </w:rPr>
        <w:t>二、</w:t>
      </w:r>
      <w:r>
        <w:rPr>
          <w:rFonts w:hint="eastAsia" w:ascii="Times New Roman" w:hAnsi="Times New Roman" w:eastAsia="黑体" w:cs="宋体"/>
          <w:color w:val="000000" w:themeColor="text1"/>
          <w:kern w:val="0"/>
          <w:sz w:val="32"/>
          <w:szCs w:val="32"/>
          <w:highlight w:val="none"/>
          <w:shd w:val="clear" w:color="auto" w:fill="FFFFFF"/>
          <w:lang w:eastAsia="zh-CN"/>
          <w14:textFill>
            <w14:solidFill>
              <w14:schemeClr w14:val="tx1"/>
            </w14:solidFill>
          </w14:textFill>
        </w:rPr>
        <w:t>部门</w:t>
      </w:r>
      <w:r>
        <w:rPr>
          <w:rFonts w:hint="eastAsia" w:ascii="Times New Roman" w:hAnsi="Times New Roman" w:eastAsia="黑体" w:cs="宋体"/>
          <w:color w:val="000000" w:themeColor="text1"/>
          <w:kern w:val="0"/>
          <w:sz w:val="32"/>
          <w:szCs w:val="32"/>
          <w:highlight w:val="none"/>
          <w:shd w:val="clear" w:color="auto" w:fill="FFFFFF"/>
          <w14:textFill>
            <w14:solidFill>
              <w14:schemeClr w14:val="tx1"/>
            </w14:solidFill>
          </w14:textFill>
        </w:rPr>
        <w:t>资金收支情况</w:t>
      </w:r>
    </w:p>
    <w:p>
      <w:pPr>
        <w:keepNext w:val="0"/>
        <w:keepLines w:val="0"/>
        <w:pageBreakBefore w:val="0"/>
        <w:kinsoku/>
        <w:wordWrap/>
        <w:overflowPunct/>
        <w:topLinePunct w:val="0"/>
        <w:autoSpaceDE/>
        <w:autoSpaceDN/>
        <w:bidi w:val="0"/>
        <w:spacing w:line="580" w:lineRule="exact"/>
        <w:ind w:firstLine="645"/>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（一）收入情况。</w:t>
      </w:r>
    </w:p>
    <w:p>
      <w:pPr>
        <w:spacing w:line="580" w:lineRule="exact"/>
        <w:ind w:firstLine="645"/>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中国共产党自贡市委员会党校202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年度年初预算安排收入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1464.85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万元。其中，一般公共预算财政拨款收入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1414.85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万元，比上年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1377.54</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37.31</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万元，主要是事业人员基础性绩效工资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2024年按70%申报的预算，2025年开始按100%申报预算。</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财政专户管理资金收入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50万元，与上年持平。</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其他收入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比上年减少180万元，主要是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主体班培训收入按照往来类代管资金管理，不再作为其他收入管理。</w:t>
      </w:r>
    </w:p>
    <w:p>
      <w:pPr>
        <w:spacing w:line="580" w:lineRule="exact"/>
        <w:ind w:firstLine="645"/>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年全年预算收入执行情况，当年执行全年预算收入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3361.96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万元，其中，一般公共预算财政拨款收入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3343.2</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万元，事业收入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18.76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w:t>
      </w:r>
    </w:p>
    <w:p>
      <w:pPr>
        <w:keepNext w:val="0"/>
        <w:keepLines w:val="0"/>
        <w:pageBreakBefore w:val="0"/>
        <w:widowControl w:val="0"/>
        <w:pBdr>
          <w:bottom w:val="single" w:color="FFFFFF" w:sz="4" w:space="31"/>
        </w:pBdr>
        <w:kinsoku/>
        <w:wordWrap/>
        <w:overflowPunct/>
        <w:topLinePunct w:val="0"/>
        <w:autoSpaceDE/>
        <w:autoSpaceDN/>
        <w:bidi w:val="0"/>
        <w:adjustRightInd/>
        <w:spacing w:line="592" w:lineRule="exact"/>
        <w:ind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（二）支出情况。</w:t>
      </w:r>
    </w:p>
    <w:p>
      <w:pPr>
        <w:keepNext w:val="0"/>
        <w:keepLines w:val="0"/>
        <w:pageBreakBefore w:val="0"/>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eastAsia="楷体_GB2312"/>
          <w:b/>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年度年初预算安排支出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1464.85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万元，按功能分类，其中，教育支出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1186.38</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万元，社会保障和就业支出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126.34</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万元，卫生健康支出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75.26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万元，住房保障支出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76.87</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万元。按支出性质分类，其中，基本支出12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40.8</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万元，项目支出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224.05</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万元。  </w:t>
      </w:r>
      <w:r>
        <w:rPr>
          <w:rFonts w:hint="eastAsia" w:ascii="Times New Roman" w:hAnsi="Times New Roman" w:eastAsia="楷体_GB2312"/>
          <w:b/>
          <w:color w:val="000000" w:themeColor="text1"/>
          <w:sz w:val="32"/>
          <w:szCs w:val="32"/>
          <w14:textFill>
            <w14:solidFill>
              <w14:schemeClr w14:val="tx1"/>
            </w14:solidFill>
          </w14:textFill>
        </w:rPr>
        <w:t xml:space="preserve">  </w:t>
      </w:r>
    </w:p>
    <w:p>
      <w:pPr>
        <w:pBdr>
          <w:bottom w:val="single" w:color="FFFFFF" w:sz="4" w:space="31"/>
        </w:pBdr>
        <w:spacing w:line="592" w:lineRule="exact"/>
        <w:ind w:firstLine="640" w:firstLineChars="200"/>
        <w:rPr>
          <w:rFonts w:hint="eastAsia" w:ascii="Times New Roman" w:hAnsi="Times New Roman" w:eastAsia="仿宋" w:cs="仿宋"/>
          <w:color w:val="000000" w:themeColor="text1"/>
          <w:sz w:val="32"/>
          <w:szCs w:val="32"/>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202</w:t>
      </w:r>
      <w:r>
        <w:rPr>
          <w:rFonts w:hint="eastAsia" w:ascii="Times New Roman" w:hAnsi="Times New Roman" w:eastAsia="仿宋" w:cs="仿宋"/>
          <w:color w:val="000000" w:themeColor="text1"/>
          <w:sz w:val="32"/>
          <w:szCs w:val="32"/>
          <w:lang w:val="en-US" w:eastAsia="zh-CN"/>
          <w14:textFill>
            <w14:solidFill>
              <w14:schemeClr w14:val="tx1"/>
            </w14:solidFill>
          </w14:textFill>
        </w:rPr>
        <w:t>5</w:t>
      </w:r>
      <w:r>
        <w:rPr>
          <w:rFonts w:hint="eastAsia" w:ascii="Times New Roman" w:hAnsi="Times New Roman" w:eastAsia="仿宋" w:cs="仿宋"/>
          <w:color w:val="000000" w:themeColor="text1"/>
          <w:sz w:val="32"/>
          <w:szCs w:val="32"/>
          <w14:textFill>
            <w14:solidFill>
              <w14:schemeClr w14:val="tx1"/>
            </w14:solidFill>
          </w14:textFill>
        </w:rPr>
        <w:t>年</w:t>
      </w:r>
      <w:r>
        <w:rPr>
          <w:rFonts w:hint="eastAsia" w:eastAsia="仿宋" w:cs="仿宋"/>
          <w:color w:val="000000" w:themeColor="text1"/>
          <w:sz w:val="32"/>
          <w:szCs w:val="32"/>
          <w:lang w:val="en-US" w:eastAsia="zh-CN"/>
          <w14:textFill>
            <w14:solidFill>
              <w14:schemeClr w14:val="tx1"/>
            </w14:solidFill>
          </w14:textFill>
        </w:rPr>
        <w:t>决算</w:t>
      </w:r>
      <w:r>
        <w:rPr>
          <w:rFonts w:hint="eastAsia" w:ascii="Times New Roman" w:hAnsi="Times New Roman" w:eastAsia="仿宋" w:cs="仿宋"/>
          <w:color w:val="000000" w:themeColor="text1"/>
          <w:sz w:val="32"/>
          <w:szCs w:val="32"/>
          <w14:textFill>
            <w14:solidFill>
              <w14:schemeClr w14:val="tx1"/>
            </w14:solidFill>
          </w14:textFill>
        </w:rPr>
        <w:t>支出总额</w:t>
      </w:r>
      <w:r>
        <w:rPr>
          <w:rFonts w:hint="eastAsia" w:ascii="Times New Roman" w:hAnsi="Times New Roman" w:eastAsia="仿宋" w:cs="仿宋"/>
          <w:color w:val="000000" w:themeColor="text1"/>
          <w:sz w:val="32"/>
          <w:szCs w:val="32"/>
          <w:lang w:val="en-US" w:eastAsia="zh-CN"/>
          <w14:textFill>
            <w14:solidFill>
              <w14:schemeClr w14:val="tx1"/>
            </w14:solidFill>
          </w14:textFill>
        </w:rPr>
        <w:t>3361.96</w:t>
      </w:r>
      <w:r>
        <w:rPr>
          <w:rFonts w:hint="eastAsia" w:ascii="Times New Roman" w:hAnsi="Times New Roman" w:eastAsia="仿宋" w:cs="仿宋"/>
          <w:color w:val="000000" w:themeColor="text1"/>
          <w:sz w:val="32"/>
          <w:szCs w:val="32"/>
          <w14:textFill>
            <w14:solidFill>
              <w14:schemeClr w14:val="tx1"/>
            </w14:solidFill>
          </w14:textFill>
        </w:rPr>
        <w:t>万元，按功能分类</w:t>
      </w:r>
      <w:r>
        <w:rPr>
          <w:rFonts w:hint="eastAsia" w:ascii="Times New Roman" w:hAnsi="Times New Roman" w:eastAsia="仿宋" w:cs="仿宋"/>
          <w:color w:val="000000" w:themeColor="text1"/>
          <w:sz w:val="32"/>
          <w:szCs w:val="32"/>
          <w:lang w:eastAsia="zh-CN"/>
          <w14:textFill>
            <w14:solidFill>
              <w14:schemeClr w14:val="tx1"/>
            </w14:solidFill>
          </w14:textFill>
        </w:rPr>
        <w:t>，一般公共服务支出</w:t>
      </w:r>
      <w:r>
        <w:rPr>
          <w:rFonts w:hint="eastAsia" w:ascii="Times New Roman" w:hAnsi="Times New Roman" w:eastAsia="仿宋" w:cs="仿宋"/>
          <w:color w:val="000000" w:themeColor="text1"/>
          <w:sz w:val="32"/>
          <w:szCs w:val="32"/>
          <w:lang w:val="en-US" w:eastAsia="zh-CN"/>
          <w14:textFill>
            <w14:solidFill>
              <w14:schemeClr w14:val="tx1"/>
            </w14:solidFill>
          </w14:textFill>
        </w:rPr>
        <w:t>239.95万元，占7.14%；</w:t>
      </w:r>
      <w:r>
        <w:rPr>
          <w:rFonts w:hint="eastAsia" w:ascii="Times New Roman" w:hAnsi="Times New Roman" w:eastAsia="仿宋" w:cs="仿宋"/>
          <w:color w:val="000000" w:themeColor="text1"/>
          <w:sz w:val="32"/>
          <w:szCs w:val="32"/>
          <w14:textFill>
            <w14:solidFill>
              <w14:schemeClr w14:val="tx1"/>
            </w14:solidFill>
          </w14:textFill>
        </w:rPr>
        <w:t>教育支出</w:t>
      </w:r>
      <w:r>
        <w:rPr>
          <w:rFonts w:hint="eastAsia" w:ascii="Times New Roman" w:hAnsi="Times New Roman" w:eastAsia="仿宋" w:cs="仿宋"/>
          <w:color w:val="000000" w:themeColor="text1"/>
          <w:sz w:val="32"/>
          <w:szCs w:val="32"/>
          <w:lang w:val="en-US" w:eastAsia="zh-CN"/>
          <w14:textFill>
            <w14:solidFill>
              <w14:schemeClr w14:val="tx1"/>
            </w14:solidFill>
          </w14:textFill>
        </w:rPr>
        <w:t>2426.48</w:t>
      </w:r>
      <w:r>
        <w:rPr>
          <w:rFonts w:hint="eastAsia" w:ascii="Times New Roman" w:hAnsi="Times New Roman" w:eastAsia="仿宋" w:cs="仿宋"/>
          <w:color w:val="000000" w:themeColor="text1"/>
          <w:sz w:val="32"/>
          <w:szCs w:val="32"/>
          <w14:textFill>
            <w14:solidFill>
              <w14:schemeClr w14:val="tx1"/>
            </w14:solidFill>
          </w14:textFill>
        </w:rPr>
        <w:t>万元，占</w:t>
      </w:r>
      <w:r>
        <w:rPr>
          <w:rFonts w:hint="eastAsia" w:ascii="Times New Roman" w:hAnsi="Times New Roman" w:eastAsia="仿宋" w:cs="仿宋"/>
          <w:color w:val="000000" w:themeColor="text1"/>
          <w:sz w:val="32"/>
          <w:szCs w:val="32"/>
          <w:lang w:val="en-US" w:eastAsia="zh-CN"/>
          <w14:textFill>
            <w14:solidFill>
              <w14:schemeClr w14:val="tx1"/>
            </w14:solidFill>
          </w14:textFill>
        </w:rPr>
        <w:t>72.17</w:t>
      </w:r>
      <w:r>
        <w:rPr>
          <w:rFonts w:hint="eastAsia" w:ascii="Times New Roman" w:hAnsi="Times New Roman" w:eastAsia="仿宋" w:cs="仿宋"/>
          <w:color w:val="000000" w:themeColor="text1"/>
          <w:sz w:val="32"/>
          <w:szCs w:val="32"/>
          <w14:textFill>
            <w14:solidFill>
              <w14:schemeClr w14:val="tx1"/>
            </w14:solidFill>
          </w14:textFill>
        </w:rPr>
        <w:t>%</w:t>
      </w:r>
      <w:r>
        <w:rPr>
          <w:rFonts w:hint="eastAsia" w:ascii="Times New Roman" w:hAnsi="Times New Roman" w:eastAsia="仿宋" w:cs="仿宋"/>
          <w:color w:val="000000" w:themeColor="text1"/>
          <w:sz w:val="32"/>
          <w:szCs w:val="32"/>
          <w:lang w:eastAsia="zh-CN"/>
          <w14:textFill>
            <w14:solidFill>
              <w14:schemeClr w14:val="tx1"/>
            </w14:solidFill>
          </w14:textFill>
        </w:rPr>
        <w:t>；</w:t>
      </w:r>
      <w:r>
        <w:rPr>
          <w:rFonts w:hint="eastAsia" w:ascii="Times New Roman" w:hAnsi="Times New Roman" w:eastAsia="仿宋" w:cs="仿宋"/>
          <w:color w:val="000000" w:themeColor="text1"/>
          <w:sz w:val="32"/>
          <w:szCs w:val="32"/>
          <w14:textFill>
            <w14:solidFill>
              <w14:schemeClr w14:val="tx1"/>
            </w14:solidFill>
          </w14:textFill>
        </w:rPr>
        <w:t>社会保障和就业支出</w:t>
      </w:r>
      <w:r>
        <w:rPr>
          <w:rFonts w:hint="eastAsia" w:ascii="Times New Roman" w:hAnsi="Times New Roman" w:eastAsia="仿宋" w:cs="仿宋"/>
          <w:color w:val="000000" w:themeColor="text1"/>
          <w:sz w:val="32"/>
          <w:szCs w:val="32"/>
          <w:lang w:val="en-US" w:eastAsia="zh-CN"/>
          <w14:textFill>
            <w14:solidFill>
              <w14:schemeClr w14:val="tx1"/>
            </w14:solidFill>
          </w14:textFill>
        </w:rPr>
        <w:t>498.64</w:t>
      </w:r>
      <w:r>
        <w:rPr>
          <w:rFonts w:hint="eastAsia" w:ascii="Times New Roman" w:hAnsi="Times New Roman" w:eastAsia="仿宋" w:cs="仿宋"/>
          <w:color w:val="000000" w:themeColor="text1"/>
          <w:sz w:val="32"/>
          <w:szCs w:val="32"/>
          <w14:textFill>
            <w14:solidFill>
              <w14:schemeClr w14:val="tx1"/>
            </w14:solidFill>
          </w14:textFill>
        </w:rPr>
        <w:t>万元，占</w:t>
      </w:r>
      <w:r>
        <w:rPr>
          <w:rFonts w:hint="eastAsia" w:ascii="Times New Roman" w:hAnsi="Times New Roman" w:eastAsia="仿宋" w:cs="仿宋"/>
          <w:color w:val="000000" w:themeColor="text1"/>
          <w:sz w:val="32"/>
          <w:szCs w:val="32"/>
          <w:lang w:val="en-US" w:eastAsia="zh-CN"/>
          <w14:textFill>
            <w14:solidFill>
              <w14:schemeClr w14:val="tx1"/>
            </w14:solidFill>
          </w14:textFill>
        </w:rPr>
        <w:t>14.83</w:t>
      </w:r>
      <w:r>
        <w:rPr>
          <w:rFonts w:hint="eastAsia" w:ascii="Times New Roman" w:hAnsi="Times New Roman" w:eastAsia="仿宋" w:cs="仿宋"/>
          <w:color w:val="000000" w:themeColor="text1"/>
          <w:sz w:val="32"/>
          <w:szCs w:val="32"/>
          <w14:textFill>
            <w14:solidFill>
              <w14:schemeClr w14:val="tx1"/>
            </w14:solidFill>
          </w14:textFill>
        </w:rPr>
        <w:t>%</w:t>
      </w:r>
      <w:r>
        <w:rPr>
          <w:rFonts w:hint="eastAsia" w:ascii="Times New Roman" w:hAnsi="Times New Roman" w:eastAsia="仿宋" w:cs="仿宋"/>
          <w:color w:val="000000" w:themeColor="text1"/>
          <w:sz w:val="32"/>
          <w:szCs w:val="32"/>
          <w:lang w:eastAsia="zh-CN"/>
          <w14:textFill>
            <w14:solidFill>
              <w14:schemeClr w14:val="tx1"/>
            </w14:solidFill>
          </w14:textFill>
        </w:rPr>
        <w:t>；卫生健康</w:t>
      </w:r>
      <w:r>
        <w:rPr>
          <w:rFonts w:hint="eastAsia" w:ascii="Times New Roman" w:hAnsi="Times New Roman" w:eastAsia="仿宋" w:cs="仿宋"/>
          <w:color w:val="000000" w:themeColor="text1"/>
          <w:sz w:val="32"/>
          <w:szCs w:val="32"/>
          <w14:textFill>
            <w14:solidFill>
              <w14:schemeClr w14:val="tx1"/>
            </w14:solidFill>
          </w14:textFill>
        </w:rPr>
        <w:t>支出</w:t>
      </w:r>
      <w:r>
        <w:rPr>
          <w:rFonts w:hint="eastAsia" w:ascii="Times New Roman" w:hAnsi="Times New Roman" w:eastAsia="仿宋" w:cs="仿宋"/>
          <w:color w:val="000000" w:themeColor="text1"/>
          <w:sz w:val="32"/>
          <w:szCs w:val="32"/>
          <w:lang w:val="en-US" w:eastAsia="zh-CN"/>
          <w14:textFill>
            <w14:solidFill>
              <w14:schemeClr w14:val="tx1"/>
            </w14:solidFill>
          </w14:textFill>
        </w:rPr>
        <w:t>95.76</w:t>
      </w:r>
      <w:r>
        <w:rPr>
          <w:rFonts w:hint="eastAsia" w:ascii="Times New Roman" w:hAnsi="Times New Roman" w:eastAsia="仿宋" w:cs="仿宋"/>
          <w:color w:val="000000" w:themeColor="text1"/>
          <w:sz w:val="32"/>
          <w:szCs w:val="32"/>
          <w14:textFill>
            <w14:solidFill>
              <w14:schemeClr w14:val="tx1"/>
            </w14:solidFill>
          </w14:textFill>
        </w:rPr>
        <w:t>万元，占</w:t>
      </w:r>
      <w:r>
        <w:rPr>
          <w:rFonts w:hint="eastAsia" w:ascii="Times New Roman" w:hAnsi="Times New Roman" w:eastAsia="仿宋" w:cs="仿宋"/>
          <w:color w:val="000000" w:themeColor="text1"/>
          <w:sz w:val="32"/>
          <w:szCs w:val="32"/>
          <w:lang w:val="en-US" w:eastAsia="zh-CN"/>
          <w14:textFill>
            <w14:solidFill>
              <w14:schemeClr w14:val="tx1"/>
            </w14:solidFill>
          </w14:textFill>
        </w:rPr>
        <w:t>2.85</w:t>
      </w:r>
      <w:r>
        <w:rPr>
          <w:rFonts w:hint="eastAsia" w:ascii="Times New Roman" w:hAnsi="Times New Roman" w:eastAsia="仿宋" w:cs="仿宋"/>
          <w:color w:val="000000" w:themeColor="text1"/>
          <w:sz w:val="32"/>
          <w:szCs w:val="32"/>
          <w14:textFill>
            <w14:solidFill>
              <w14:schemeClr w14:val="tx1"/>
            </w14:solidFill>
          </w14:textFill>
        </w:rPr>
        <w:t>%</w:t>
      </w:r>
      <w:r>
        <w:rPr>
          <w:rFonts w:hint="eastAsia" w:ascii="Times New Roman" w:hAnsi="Times New Roman" w:eastAsia="仿宋" w:cs="仿宋"/>
          <w:color w:val="000000" w:themeColor="text1"/>
          <w:sz w:val="32"/>
          <w:szCs w:val="32"/>
          <w:lang w:eastAsia="zh-CN"/>
          <w14:textFill>
            <w14:solidFill>
              <w14:schemeClr w14:val="tx1"/>
            </w14:solidFill>
          </w14:textFill>
        </w:rPr>
        <w:t>；</w:t>
      </w:r>
      <w:r>
        <w:rPr>
          <w:rFonts w:hint="eastAsia" w:ascii="Times New Roman" w:hAnsi="Times New Roman" w:eastAsia="仿宋" w:cs="仿宋"/>
          <w:color w:val="000000" w:themeColor="text1"/>
          <w:sz w:val="32"/>
          <w:szCs w:val="32"/>
          <w14:textFill>
            <w14:solidFill>
              <w14:schemeClr w14:val="tx1"/>
            </w14:solidFill>
          </w14:textFill>
        </w:rPr>
        <w:t>住房保障支出</w:t>
      </w:r>
      <w:r>
        <w:rPr>
          <w:rFonts w:hint="eastAsia" w:ascii="Times New Roman" w:hAnsi="Times New Roman" w:eastAsia="仿宋" w:cs="仿宋"/>
          <w:color w:val="000000" w:themeColor="text1"/>
          <w:sz w:val="32"/>
          <w:szCs w:val="32"/>
          <w:lang w:val="en-US" w:eastAsia="zh-CN"/>
          <w14:textFill>
            <w14:solidFill>
              <w14:schemeClr w14:val="tx1"/>
            </w14:solidFill>
          </w14:textFill>
        </w:rPr>
        <w:t>101.13</w:t>
      </w:r>
      <w:r>
        <w:rPr>
          <w:rFonts w:hint="eastAsia" w:ascii="Times New Roman" w:hAnsi="Times New Roman" w:eastAsia="仿宋" w:cs="仿宋"/>
          <w:color w:val="000000" w:themeColor="text1"/>
          <w:sz w:val="32"/>
          <w:szCs w:val="32"/>
          <w14:textFill>
            <w14:solidFill>
              <w14:schemeClr w14:val="tx1"/>
            </w14:solidFill>
          </w14:textFill>
        </w:rPr>
        <w:t>万元，占</w:t>
      </w:r>
      <w:r>
        <w:rPr>
          <w:rFonts w:hint="eastAsia" w:ascii="Times New Roman" w:hAnsi="Times New Roman" w:eastAsia="仿宋" w:cs="仿宋"/>
          <w:color w:val="000000" w:themeColor="text1"/>
          <w:sz w:val="32"/>
          <w:szCs w:val="32"/>
          <w:lang w:val="en-US" w:eastAsia="zh-CN"/>
          <w14:textFill>
            <w14:solidFill>
              <w14:schemeClr w14:val="tx1"/>
            </w14:solidFill>
          </w14:textFill>
        </w:rPr>
        <w:t>3.01</w:t>
      </w:r>
      <w:r>
        <w:rPr>
          <w:rFonts w:hint="eastAsia" w:ascii="Times New Roman" w:hAnsi="Times New Roman" w:eastAsia="仿宋" w:cs="仿宋"/>
          <w:color w:val="000000" w:themeColor="text1"/>
          <w:sz w:val="32"/>
          <w:szCs w:val="32"/>
          <w14:textFill>
            <w14:solidFill>
              <w14:schemeClr w14:val="tx1"/>
            </w14:solidFill>
          </w14:textFill>
        </w:rPr>
        <w:t>%。</w:t>
      </w:r>
    </w:p>
    <w:p>
      <w:pPr>
        <w:keepNext w:val="0"/>
        <w:keepLines w:val="0"/>
        <w:pageBreakBefore w:val="0"/>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i w:val="0"/>
          <w:iCs w:val="0"/>
          <w:caps w:val="0"/>
          <w:color w:val="000000" w:themeColor="text1"/>
          <w:spacing w:val="0"/>
          <w:sz w:val="32"/>
          <w:szCs w:val="32"/>
          <w:shd w:val="clear" w:color="auto" w:fill="auto"/>
          <w:lang w:val="en-US" w:eastAsia="zh-CN"/>
          <w14:textFill>
            <w14:solidFill>
              <w14:schemeClr w14:val="tx1"/>
            </w14:solidFill>
          </w14:textFill>
        </w:rPr>
      </w:pPr>
      <w:r>
        <w:rPr>
          <w:rFonts w:hint="default" w:ascii="Times New Roman" w:hAnsi="Times New Roman" w:eastAsia="仿宋_GB2312" w:cs="仿宋_GB2312"/>
          <w:i w:val="0"/>
          <w:iCs w:val="0"/>
          <w:caps w:val="0"/>
          <w:color w:val="000000" w:themeColor="text1"/>
          <w:spacing w:val="0"/>
          <w:sz w:val="32"/>
          <w:szCs w:val="32"/>
          <w:shd w:val="clear" w:color="auto" w:fill="auto"/>
          <w14:textFill>
            <w14:solidFill>
              <w14:schemeClr w14:val="tx1"/>
            </w14:solidFill>
          </w14:textFill>
        </w:rPr>
        <w:t>市委党校</w:t>
      </w:r>
      <w:r>
        <w:rPr>
          <w:rFonts w:hint="eastAsia" w:ascii="Times New Roman" w:hAnsi="Times New Roman" w:cs="仿宋_GB2312"/>
          <w:i w:val="0"/>
          <w:iCs w:val="0"/>
          <w:caps w:val="0"/>
          <w:color w:val="000000" w:themeColor="text1"/>
          <w:spacing w:val="0"/>
          <w:sz w:val="32"/>
          <w:szCs w:val="32"/>
          <w:shd w:val="clear" w:color="auto" w:fill="auto"/>
          <w:lang w:val="en-US" w:eastAsia="zh-CN"/>
          <w14:textFill>
            <w14:solidFill>
              <w14:schemeClr w14:val="tx1"/>
            </w14:solidFill>
          </w14:textFill>
        </w:rPr>
        <w:t>2025年度完成工作任务及效果。</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cs="Times New Roman"/>
          <w:b/>
          <w:bCs/>
          <w:color w:val="000000" w:themeColor="text1"/>
          <w:kern w:val="2"/>
          <w:sz w:val="32"/>
          <w:szCs w:val="32"/>
          <w:lang w:val="en-US" w:eastAsia="zh-CN" w:bidi="ar-SA"/>
          <w14:textFill>
            <w14:solidFill>
              <w14:schemeClr w14:val="tx1"/>
            </w14:solidFill>
          </w14:textFill>
        </w:rPr>
        <w:t>1.</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坚持党校姓党抓政治建设。</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始终把政治建设摆在首要位置，严格执行“第一议题”制度，持续</w:t>
      </w:r>
      <w:r>
        <w:rPr>
          <w:rFonts w:hint="eastAsia" w:cs="Times New Roman"/>
          <w:color w:val="000000" w:themeColor="text1"/>
          <w:kern w:val="2"/>
          <w:sz w:val="32"/>
          <w:szCs w:val="32"/>
          <w:lang w:val="en-US" w:eastAsia="zh-CN" w:bidi="ar-SA"/>
          <w14:textFill>
            <w14:solidFill>
              <w14:schemeClr w14:val="tx1"/>
            </w14:solidFill>
          </w14:textFill>
        </w:rPr>
        <w:t>深入学习贯彻习近平新时代中国特色社会主义思想</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及习近平总书记系列重要讲话精神，建立“会议领学、教师讲学、集中研学、个人践学”四维一体理论学习体系，切实强化理论武装、筑牢思想根基。</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2025年累计发布学习要点内容12次，开展校（院）委会、理论学习中心组、“三会一课”等集中学习</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125</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次</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，坚决把捍卫“两个确立”、做到“两个维护”落实到实践中。</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cs="Times New Roman"/>
          <w:b/>
          <w:bCs/>
          <w:color w:val="000000" w:themeColor="text1"/>
          <w:kern w:val="2"/>
          <w:sz w:val="32"/>
          <w:szCs w:val="32"/>
          <w:lang w:val="en-US" w:eastAsia="zh-CN" w:bidi="ar-SA"/>
          <w14:textFill>
            <w14:solidFill>
              <w14:schemeClr w14:val="tx1"/>
            </w14:solidFill>
          </w14:textFill>
        </w:rPr>
        <w:t>2.</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坚持主业主责抓教学创新。</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以基本培训为抓手，严格落实封闭管理相关要求，创新教学方法、深化教学改革、完善课题体系，获评全省党校系统优秀教学组织奖。全年更新完善课</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程36门，新开发课程25门，其中1门入选全省党校系统精品课程；举办</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各类</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培训班60期，培训学员</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4500</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余人次，统筹指导区县主体班次23个，培训1400余人次。</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建立省市优质课程共享平台，组织开展市县党校网络直播“同上一堂课”</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58</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场次，覆盖</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3.02</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万人次，有效促进优质教学资源下沉，不断推进基本培训“量上全覆盖、质上大提升”。</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cs="Times New Roman"/>
          <w:b/>
          <w:bCs/>
          <w:color w:val="000000" w:themeColor="text1"/>
          <w:kern w:val="2"/>
          <w:sz w:val="32"/>
          <w:szCs w:val="32"/>
          <w:lang w:val="en-US" w:eastAsia="zh-CN" w:bidi="ar-SA"/>
          <w14:textFill>
            <w14:solidFill>
              <w14:schemeClr w14:val="tx1"/>
            </w14:solidFill>
          </w14:textFill>
        </w:rPr>
        <w:t>3.</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坚持基础研究抓成果转化。</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深化有组织的科研咨政，重点加强对高质量成果的资助，助推成果转化，获评全省党校系统优秀科研组织奖。全年申报各类课题144</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项、立项</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49</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项，确定省部级课题攻坚项目5个、决策咨询攻坚项目5个，出版专著1部，报送咨政建议10篇，举办全市党校系统理论研讨会1场，在AMI（扩展）期刊发表高质量论文1篇，</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《盐都论坛》被评</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为2024</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年度自贡市科协系统优秀学术二类期刊。</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cs="Times New Roman"/>
          <w:b/>
          <w:bCs/>
          <w:color w:val="000000" w:themeColor="text1"/>
          <w:kern w:val="2"/>
          <w:sz w:val="32"/>
          <w:szCs w:val="32"/>
          <w:lang w:val="en-US" w:eastAsia="zh-CN" w:bidi="ar-SA"/>
          <w14:textFill>
            <w14:solidFill>
              <w14:schemeClr w14:val="tx1"/>
            </w14:solidFill>
          </w14:textFill>
        </w:rPr>
        <w:t>4.</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坚持质量立校抓队伍建设。</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修订完善《专业技术岗位聘任管理暂行办法》，以“燎原大讲堂”“青竹提能工程”等</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为依托，多形式多渠道加强人才培育培养。遴选3名参公人员充实干部队伍，邀请中省专家教授组建名师工作室</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，为全市党校系统教师开展教学科研咨政提供专业指导；</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举行师资能力提升培训班3期，培训教师200余人次；</w:t>
      </w:r>
      <w:bookmarkStart w:id="57" w:name="OLE_LINK16"/>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安排</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名教师赴市委组织部、市委巡察</w:t>
      </w:r>
      <w:bookmarkEnd w:id="57"/>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办等部门脱产顶岗锻炼，有效促进青年教师快速成长。</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5.坚持从严治校抓校风管理。</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开展深入贯彻中央八项规定精神学习教育，全面完成市委巡察问题整改。持之以恒抓好学风、教风、校风建设，修订完善各项规章制度</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12</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项。聚焦教职工与学员两个主体、教与学两个环节，把政治要求贯穿教学管理始终，强化教师科研学术规范审查和教案、课件政治审核，落实教学督导、授课质量随机抽查等制度，全面落实培训封闭管理办法，严肃培训期间党内政治生活，健全学员临时党支部作用发挥机制，以“硬制度+强监督+严管理”打造风清气正的“红色校园”。</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楷体_GB2312" w:cs="Times New Roman"/>
          <w:b/>
          <w:color w:val="000000" w:themeColor="text1"/>
          <w:sz w:val="32"/>
          <w:szCs w:val="32"/>
          <w:lang w:eastAsia="zh-CN"/>
          <w14:textFill>
            <w14:solidFill>
              <w14:schemeClr w14:val="tx1"/>
            </w14:solidFill>
          </w14:textFill>
        </w:rPr>
      </w:pPr>
      <w:r>
        <w:rPr>
          <w:rFonts w:hint="eastAsia" w:ascii="Times New Roman" w:hAnsi="Times New Roman" w:eastAsia="楷体" w:cs="Times New Roman"/>
          <w:b/>
          <w:bCs/>
          <w:i w:val="0"/>
          <w:iCs w:val="0"/>
          <w:caps w:val="0"/>
          <w:color w:val="000000" w:themeColor="text1"/>
          <w:spacing w:val="0"/>
          <w:sz w:val="32"/>
          <w:szCs w:val="32"/>
          <w:shd w:val="clear" w:color="auto" w:fill="FFFFFF"/>
          <w:lang w:val="en-US" w:eastAsia="zh-CN"/>
          <w14:textFill>
            <w14:solidFill>
              <w14:schemeClr w14:val="tx1"/>
            </w14:solidFill>
          </w14:textFill>
        </w:rPr>
        <w:t>（三）</w:t>
      </w:r>
      <w:r>
        <w:rPr>
          <w:rFonts w:hint="default" w:ascii="Times New Roman" w:hAnsi="Times New Roman" w:eastAsia="楷体" w:cs="Times New Roman"/>
          <w:b/>
          <w:bCs/>
          <w:i w:val="0"/>
          <w:iCs w:val="0"/>
          <w:caps w:val="0"/>
          <w:color w:val="000000" w:themeColor="text1"/>
          <w:spacing w:val="0"/>
          <w:sz w:val="32"/>
          <w:szCs w:val="32"/>
          <w:shd w:val="clear" w:color="auto" w:fill="FFFFFF"/>
          <w:lang w:val="en-US" w:eastAsia="zh-CN"/>
          <w14:textFill>
            <w14:solidFill>
              <w14:schemeClr w14:val="tx1"/>
            </w14:solidFill>
          </w14:textFill>
        </w:rPr>
        <w:t>结</w:t>
      </w:r>
      <w:r>
        <w:rPr>
          <w:rFonts w:hint="default" w:ascii="Times New Roman" w:hAnsi="Times New Roman" w:eastAsia="楷体_GB2312" w:cs="Times New Roman"/>
          <w:b/>
          <w:color w:val="000000" w:themeColor="text1"/>
          <w:sz w:val="32"/>
          <w:szCs w:val="32"/>
          <w14:textFill>
            <w14:solidFill>
              <w14:schemeClr w14:val="tx1"/>
            </w14:solidFill>
          </w14:textFill>
        </w:rPr>
        <w:t>余分配和结转结余情况</w:t>
      </w:r>
      <w:r>
        <w:rPr>
          <w:rFonts w:hint="default" w:ascii="Times New Roman" w:hAnsi="Times New Roman" w:eastAsia="楷体_GB2312" w:cs="Times New Roman"/>
          <w:b/>
          <w:color w:val="000000" w:themeColor="text1"/>
          <w:sz w:val="32"/>
          <w:szCs w:val="32"/>
          <w:lang w:eastAsia="zh-CN"/>
          <w14:textFill>
            <w14:solidFill>
              <w14:schemeClr w14:val="tx1"/>
            </w14:solidFill>
          </w14:textFill>
        </w:rPr>
        <w:t>。</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964" w:firstLineChars="300"/>
        <w:jc w:val="left"/>
        <w:textAlignment w:val="auto"/>
        <w:rPr>
          <w:rFonts w:hint="eastAsia" w:ascii="Times New Roman" w:hAnsi="Times New Roman" w:eastAsia="仿宋" w:cs="仿宋"/>
          <w:b/>
          <w:bCs/>
          <w:color w:val="000000" w:themeColor="text1"/>
          <w:sz w:val="32"/>
          <w:szCs w:val="32"/>
          <w:lang w:val="en-US" w:eastAsia="zh-CN"/>
          <w14:textFill>
            <w14:solidFill>
              <w14:schemeClr w14:val="tx1"/>
            </w14:solidFill>
          </w14:textFill>
        </w:rPr>
      </w:pPr>
      <w:r>
        <w:rPr>
          <w:rFonts w:hint="eastAsia" w:ascii="Times New Roman" w:hAnsi="Times New Roman" w:eastAsia="仿宋" w:cs="仿宋"/>
          <w:b/>
          <w:bCs/>
          <w:color w:val="000000" w:themeColor="text1"/>
          <w:sz w:val="32"/>
          <w:szCs w:val="32"/>
          <w:lang w:val="en-US" w:eastAsia="zh-CN"/>
          <w14:textFill>
            <w14:solidFill>
              <w14:schemeClr w14:val="tx1"/>
            </w14:solidFill>
          </w14:textFill>
        </w:rPr>
        <w:t>1.财政拨款结转和结余</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960" w:firstLineChars="300"/>
        <w:jc w:val="left"/>
        <w:textAlignment w:val="auto"/>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2025年财政拨款收入3343.2万元，财政拨款支出3343.2万元，年末结转结余0万元。与上年一致。</w:t>
      </w:r>
    </w:p>
    <w:p>
      <w:pPr>
        <w:keepNext w:val="0"/>
        <w:keepLines w:val="0"/>
        <w:pageBreakBefore w:val="0"/>
        <w:numPr>
          <w:ilvl w:val="0"/>
          <w:numId w:val="4"/>
        </w:numPr>
        <w:pBdr>
          <w:bottom w:val="single" w:color="FFFFFF" w:sz="4" w:space="31"/>
        </w:pBdr>
        <w:kinsoku/>
        <w:wordWrap/>
        <w:overflowPunct/>
        <w:topLinePunct w:val="0"/>
        <w:autoSpaceDE/>
        <w:autoSpaceDN/>
        <w:bidi w:val="0"/>
        <w:spacing w:line="592" w:lineRule="exact"/>
        <w:ind w:firstLine="964" w:firstLineChars="300"/>
        <w:jc w:val="left"/>
        <w:textAlignment w:val="auto"/>
        <w:rPr>
          <w:rFonts w:hint="eastAsia" w:ascii="Times New Roman" w:hAnsi="Times New Roman" w:eastAsia="仿宋" w:cs="仿宋"/>
          <w:b/>
          <w:bCs/>
          <w:color w:val="000000" w:themeColor="text1"/>
          <w:sz w:val="32"/>
          <w:szCs w:val="32"/>
          <w:lang w:val="en-US" w:eastAsia="zh-CN"/>
          <w14:textFill>
            <w14:solidFill>
              <w14:schemeClr w14:val="tx1"/>
            </w14:solidFill>
          </w14:textFill>
        </w:rPr>
      </w:pPr>
      <w:r>
        <w:rPr>
          <w:rFonts w:hint="eastAsia" w:ascii="Times New Roman" w:hAnsi="Times New Roman" w:eastAsia="仿宋" w:cs="仿宋"/>
          <w:b/>
          <w:bCs/>
          <w:color w:val="000000" w:themeColor="text1"/>
          <w:sz w:val="32"/>
          <w:szCs w:val="32"/>
          <w:lang w:val="en-US" w:eastAsia="zh-CN"/>
          <w14:textFill>
            <w14:solidFill>
              <w14:schemeClr w14:val="tx1"/>
            </w14:solidFill>
          </w14:textFill>
        </w:rPr>
        <w:t>非财政拨款结转和结余</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960" w:firstLineChars="300"/>
        <w:jc w:val="left"/>
        <w:textAlignment w:val="auto"/>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2025年非财政拨款收入18.76万元，非财政拨款支出18.76万元，年末结转结余0万元。</w:t>
      </w:r>
    </w:p>
    <w:p>
      <w:pPr>
        <w:keepNext w:val="0"/>
        <w:keepLines w:val="0"/>
        <w:pageBreakBefore w:val="0"/>
        <w:numPr>
          <w:ilvl w:val="0"/>
          <w:numId w:val="5"/>
        </w:numPr>
        <w:pBdr>
          <w:bottom w:val="single" w:color="FFFFFF" w:sz="4" w:space="31"/>
        </w:pBdr>
        <w:kinsoku/>
        <w:wordWrap/>
        <w:overflowPunct/>
        <w:topLinePunct w:val="0"/>
        <w:autoSpaceDE/>
        <w:autoSpaceDN/>
        <w:bidi w:val="0"/>
        <w:spacing w:line="592" w:lineRule="exact"/>
        <w:ind w:firstLine="960" w:firstLineChars="3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u w:val="none"/>
          <w:shd w:val="clear" w:color="auto" w:fill="FFFFFF"/>
          <w14:textFill>
            <w14:solidFill>
              <w14:schemeClr w14:val="tx1"/>
            </w14:solidFill>
          </w14:textFill>
        </w:rPr>
        <w:t>部门</w:t>
      </w:r>
      <w:r>
        <w:rPr>
          <w:rFonts w:hint="default" w:ascii="Times New Roman" w:hAnsi="Times New Roman" w:eastAsia="黑体" w:cs="Times New Roman"/>
          <w:color w:val="000000" w:themeColor="text1"/>
          <w:kern w:val="0"/>
          <w:sz w:val="32"/>
          <w:szCs w:val="32"/>
          <w:highlight w:val="none"/>
          <w:u w:val="none"/>
          <w:shd w:val="clear" w:color="auto" w:fill="FFFFFF"/>
          <w:lang w:eastAsia="zh-CN"/>
          <w14:textFill>
            <w14:solidFill>
              <w14:schemeClr w14:val="tx1"/>
            </w14:solidFill>
          </w14:textFill>
        </w:rPr>
        <w:t>预算</w:t>
      </w:r>
      <w:r>
        <w:rPr>
          <w:rFonts w:hint="default" w:ascii="Times New Roman" w:hAnsi="Times New Roman" w:eastAsia="黑体" w:cs="Times New Roman"/>
          <w:color w:val="000000" w:themeColor="text1"/>
          <w:kern w:val="0"/>
          <w:sz w:val="32"/>
          <w:szCs w:val="32"/>
          <w:highlight w:val="none"/>
          <w:u w:val="none"/>
          <w:shd w:val="clear" w:color="auto" w:fill="FFFFFF"/>
          <w14:textFill>
            <w14:solidFill>
              <w14:schemeClr w14:val="tx1"/>
            </w14:solidFill>
          </w14:textFill>
        </w:rPr>
        <w:t>绩效</w:t>
      </w:r>
      <w:r>
        <w:rPr>
          <w:rFonts w:hint="default" w:ascii="Times New Roman" w:hAnsi="Times New Roman" w:eastAsia="黑体" w:cs="Times New Roman"/>
          <w:color w:val="000000" w:themeColor="text1"/>
          <w:kern w:val="0"/>
          <w:sz w:val="32"/>
          <w:szCs w:val="32"/>
          <w:highlight w:val="none"/>
          <w:u w:val="none"/>
          <w:shd w:val="clear" w:color="auto" w:fill="FFFFFF"/>
          <w:lang w:eastAsia="zh-CN"/>
          <w14:textFill>
            <w14:solidFill>
              <w14:schemeClr w14:val="tx1"/>
            </w14:solidFill>
          </w14:textFill>
        </w:rPr>
        <w:t>分析</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黑体" w:cs="Times New Roman"/>
          <w:color w:val="000000" w:themeColor="text1"/>
          <w:kern w:val="0"/>
          <w:sz w:val="32"/>
          <w:szCs w:val="32"/>
          <w:highlight w:val="none"/>
          <w:u w:val="none"/>
          <w:shd w:val="clear" w:color="auto" w:fill="FFFFFF"/>
          <w:lang w:eastAsia="zh-CN"/>
          <w14:textFill>
            <w14:solidFill>
              <w14:schemeClr w14:val="tx1"/>
            </w14:solidFill>
          </w14:textFill>
        </w:rPr>
        <w:t>（</w:t>
      </w:r>
      <w:r>
        <w:rPr>
          <w:rFonts w:hint="eastAsia" w:ascii="Times New Roman" w:hAnsi="Times New Roman" w:eastAsia="黑体" w:cs="Times New Roman"/>
          <w:color w:val="000000" w:themeColor="text1"/>
          <w:kern w:val="0"/>
          <w:sz w:val="32"/>
          <w:szCs w:val="32"/>
          <w:highlight w:val="none"/>
          <w:u w:val="none"/>
          <w:shd w:val="clear" w:color="auto" w:fill="FFFFFF"/>
          <w:lang w:val="en-US" w:eastAsia="zh-CN"/>
          <w14:textFill>
            <w14:solidFill>
              <w14:schemeClr w14:val="tx1"/>
            </w14:solidFill>
          </w14:textFill>
        </w:rPr>
        <w:t>一）</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部门预算总体绩效分析。</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960" w:firstLineChars="3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2025年，本部门紧紧围绕年度中心工作和重点任务，严格落实预算绩效管理各项要求，坚持规范管理、注重绩效，在履职效能、预算管理、财务管理、资产管理、采购管理等方面均取得较好成效，部门整体预算绩效水平稳步提升。</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1.</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履职效能情况</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本部门严格按照</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三定</w:t>
      </w:r>
      <w:r>
        <w:rPr>
          <w:rFonts w:hint="eastAsia"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文件</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规定及年度工作要点履行职能职责，聚焦主责主业，统筹推进各项工作落实，履职效能总体良好。年度重点工作任务均按计划有序推进，各项业务指标基本达到预期目标，</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培训</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服务、教学保障、学员管理等职能有效发挥，服务质量和办事效率持续提升。工作推进过程中严格遵守法律法规和政策规定，未出现履职不到位、程序不规范等问题，较好完成了年度履职目标，保障了部门职能正常运转。</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2.</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预算管理情况</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部门严格按照</w:t>
      </w:r>
      <w:r>
        <w:rPr>
          <w:rFonts w:hint="eastAsia" w:cs="仿宋_GB2312"/>
          <w:color w:val="000000" w:themeColor="text1"/>
          <w:kern w:val="2"/>
          <w:sz w:val="32"/>
          <w:szCs w:val="32"/>
          <w:lang w:val="zh-CN" w:eastAsia="zh-CN" w:bidi="ar-SA"/>
          <w14:textFill>
            <w14:solidFill>
              <w14:schemeClr w14:val="tx1"/>
            </w14:solidFill>
          </w14:textFill>
        </w:rPr>
        <w:t>《中华人民共和国预算法》</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及绩效管理相关规定开展预算管理工作，预算编制、执行、调整、公开全过程规范有序。</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2025年当年执行全年预算收入 3361.96万元，较年初预算 1464.85万元增加 1897.11万元。其中：一般公共预算财政拨款收入执行 3343.20万元，较年初预算 1414.85万元增加 1928.35万元；事业收入执行 18.76万元，较年初预算 50万元减少 31.24万元，主要系年度业务开展情况变化所致。</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 xml:space="preserve"> 预算编制坚持统筹兼顾、量力而行，基本支出保障到位，项目支出围绕重点工作科学论证、合理安排，绩效目标设置清晰、可量化、可考核。预算执行总体平稳，支出进度与工作进度相匹配，财政资金使用效率不断提高，无超预算、无预算支出情况。确需调整的预算事项均按规定程序报批，手续完备、依据充分。预决算信息按照财政部门要求及时公开，内容完整、格式规范，主动接受社会监督，预算管理规范化水平持续提升。</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3.</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财务管理情况</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部门严格执行国家财经法律法规及内部财务管理制</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度</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，财务运行规范有序，资金使用安全高效。严格执行经费审批流程，坚持</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先有预算、后有支出</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，报销审核严格，票据真实合法，会计核算规范准确，账证、账账、账表相符。</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严格落实过</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紧日子</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要求，从严控制</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三公</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经费等一般性支出。2025年</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三公</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经费支出 2.92万元，其中：公务接待费 0.94万元，公务用车运行维护费 1.98万元，因公出国（境）费用0万元，支出均控制在合理范围，厉行节约成效明显。</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资金拨付使用合规，未发生截留、挤占、挪用、坐支财政资金以及私设“小金库”等违规违纪问题。内部财务监督和内控机制运行有效，定期开展自查自纠，及时堵塞管理漏洞，财务风险防控能力不断增强。</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 xml:space="preserve"> </w:t>
      </w: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4.</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资产管理情况</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部门严格落实国有资产管理各项规定，资产配置、使用、处置全流程管理规范。2025年</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度部门人均资产变化率为4.35%，2025年</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末固定资产原值 12547.68万元，较上年 12445.61万元增加 102.07万元，主要为当年新增购置教室LED屏、台式电脑、打印机、空调、学员管理安防系统等设施设备，有效提升了办公及教学保障能力。</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 xml:space="preserve"> 新增资产严格按照配置标准和预算执行，杜绝超标准、超编制配置资产。建立健全资产台账，落实资产专人管理责任，定期开展资产盘点清查，做到账、卡、物相符，资产使用效率较高，未出现长期闲置、浪费流失等情况。资产处置严格履行审批、评估、公示等程序，处置收入按规定上缴，程序合法、资料完整。按时在国有资产动态管理系统更新信息，及时报送资产报告，国有资产安全完整、管理规范。</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5.</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采购管理情况</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 xml:space="preserve"> </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部门</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严格执行政府采购促进中小企业发展相关管理办法，对适宜由中小企业提供的采购项目，预留采购份额专门面向中小企业采购，并在采购预算中单独列示。</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严格遵守政府采购法律法规，坚持</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应采尽采、规范高效</w:t>
      </w:r>
      <w:r>
        <w:rPr>
          <w:rFonts w:hint="eastAsia"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原则，政府采购管理规范有序。严格按照批复的采购预算组织实施LED屏、电脑、打印机、空调、安防系统等设备采购，无超预算、无预算采购行为。</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eastAsia="仿宋_GB2312" w:cs="仿宋_GB2312"/>
          <w:color w:val="000000" w:themeColor="text1"/>
          <w:kern w:val="2"/>
          <w:sz w:val="32"/>
          <w:szCs w:val="32"/>
          <w:lang w:val="zh-CN" w:eastAsia="zh-CN" w:bidi="ar-SA"/>
          <w14:textFill>
            <w14:solidFill>
              <w14:schemeClr w14:val="tx1"/>
            </w14:solidFill>
          </w14:textFill>
        </w:rPr>
        <w:t xml:space="preserve"> 达到限额标准的项目均依法依规实施政府采购，合理选择采购方式，采购需求制定、信息公告、合同签订、履约验收等环节规范透明。采购项目按时完成，采购质量符合工作需要，验收程序到位。采购档案资料齐全、整理规范，归档及时，未发生规避政府采购、违规采购等问题，采购质效和规范化程度持续提升</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cs="仿宋_GB2312"/>
          <w:b/>
          <w:bCs/>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b/>
          <w:bCs/>
          <w:color w:val="000000" w:themeColor="text1"/>
          <w:kern w:val="2"/>
          <w:sz w:val="32"/>
          <w:szCs w:val="32"/>
          <w:lang w:val="en-US" w:eastAsia="zh-CN" w:bidi="ar-SA"/>
          <w14:textFill>
            <w14:solidFill>
              <w14:schemeClr w14:val="tx1"/>
            </w14:solidFill>
          </w14:textFill>
        </w:rPr>
        <w:t>二）</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部门预算项目绩效分析。</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cs="仿宋_GB2312"/>
          <w:color w:val="000000" w:themeColor="text1"/>
          <w:kern w:val="2"/>
          <w:sz w:val="32"/>
          <w:szCs w:val="32"/>
          <w:lang w:val="en-US" w:eastAsia="zh-CN" w:bidi="ar-SA"/>
          <w14:textFill>
            <w14:solidFill>
              <w14:schemeClr w14:val="tx1"/>
            </w14:solidFill>
          </w14:textFill>
        </w:rPr>
        <w:t>常年项目绩效分析。</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该类项目总数</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3</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个，涉及预算总金额</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140.39</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万元，1</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1</w:t>
      </w:r>
      <w:r>
        <w:rPr>
          <w:rFonts w:hint="default" w:ascii="Times New Roman" w:hAnsi="Times New Roman" w:cs="仿宋_GB2312"/>
          <w:color w:val="000000" w:themeColor="text1"/>
          <w:kern w:val="2"/>
          <w:sz w:val="32"/>
          <w:szCs w:val="32"/>
          <w:lang w:val="en-US" w:eastAsia="zh-CN" w:bidi="ar-SA"/>
          <w14:textFill>
            <w14:solidFill>
              <w14:schemeClr w14:val="tx1"/>
            </w14:solidFill>
          </w14:textFill>
        </w:rPr>
        <w:t>2</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月预算执行总体进度为</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100</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cs="仿宋_GB2312"/>
          <w:color w:val="000000" w:themeColor="text1"/>
          <w:kern w:val="2"/>
          <w:sz w:val="32"/>
          <w:szCs w:val="32"/>
          <w:lang w:val="en-US" w:eastAsia="zh-CN" w:bidi="ar-SA"/>
          <w14:textFill>
            <w14:solidFill>
              <w14:schemeClr w14:val="tx1"/>
            </w14:solidFill>
          </w14:textFill>
        </w:rPr>
        <w:t>阶段（</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含</w:t>
      </w:r>
      <w:r>
        <w:rPr>
          <w:rFonts w:hint="default" w:ascii="Times New Roman" w:hAnsi="Times New Roman" w:cs="仿宋_GB2312"/>
          <w:color w:val="000000" w:themeColor="text1"/>
          <w:kern w:val="2"/>
          <w:sz w:val="32"/>
          <w:szCs w:val="32"/>
          <w:lang w:val="en-US" w:eastAsia="zh-CN" w:bidi="ar-SA"/>
          <w14:textFill>
            <w14:solidFill>
              <w14:schemeClr w14:val="tx1"/>
            </w14:solidFill>
          </w14:textFill>
        </w:rPr>
        <w:t>一次性）项目绩效分析。</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该类项目总数</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6</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个，涉及预算总金额</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1361.36</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万元，1</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1</w:t>
      </w:r>
      <w:r>
        <w:rPr>
          <w:rFonts w:hint="default" w:ascii="Times New Roman" w:hAnsi="Times New Roman" w:cs="仿宋_GB2312"/>
          <w:color w:val="000000" w:themeColor="text1"/>
          <w:kern w:val="2"/>
          <w:sz w:val="32"/>
          <w:szCs w:val="32"/>
          <w:lang w:val="en-US" w:eastAsia="zh-CN" w:bidi="ar-SA"/>
          <w14:textFill>
            <w14:solidFill>
              <w14:schemeClr w14:val="tx1"/>
            </w14:solidFill>
          </w14:textFill>
        </w:rPr>
        <w:t>2</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月预算执行总体进度为</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100</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项目决策</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en-US" w:eastAsia="zh-CN" w:bidi="ar-SA"/>
          <w14:textFill>
            <w14:solidFill>
              <w14:schemeClr w14:val="tx1"/>
            </w14:solidFill>
          </w14:textFill>
        </w:rPr>
      </w:pP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决策程序情况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项目严格按照单位议事决策规则，经</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校院委</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会议集体研究审议，立项程序规范、会议记录完整。项目申报严格遵循财政预算管理相关规定，履行申报、审核、报批等流程，程序合规。项目设立紧扣</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市委、市政府</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中心工作及党校主责主业，围绕干部教育培训、理论研究宣讲、决策咨询服务、办学条件保障等工作开展，立项依据充分、合理。</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 xml:space="preserve"> </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en-US" w:eastAsia="zh-CN" w:bidi="ar-SA"/>
          <w14:textFill>
            <w14:solidFill>
              <w14:schemeClr w14:val="tx1"/>
            </w14:solidFill>
          </w14:textFill>
        </w:rPr>
      </w:pP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目标设置情况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绩效目标与本单位年度工作要点、中长期发展规划及部门核心职责紧密衔接。产出指标、效益指标、满意度指标均做到细化、量化、可考核，明确了数量、质量、时效、成本等具体标准，指标设置贴合项目实际，导向清晰，未出现目标过高、过低或笼统模糊等问题。</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 xml:space="preserve">    </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项目入库情况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所有</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按规定纳入财政预算项目库统一管理，入库信息填报真实、完整、准确，附件资料齐全规范。项目入库结合我校培训规模、师资建设、教学科研、后勤保障等实际需求统筹谋划。按要求开展项目库动态管理，及时更新项目信息，入库项目均具备实施条件。</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2.</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项目执行</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en-US" w:eastAsia="zh-CN" w:bidi="ar-SA"/>
          <w14:textFill>
            <w14:solidFill>
              <w14:schemeClr w14:val="tx1"/>
            </w14:solidFill>
          </w14:textFill>
        </w:rPr>
      </w:pP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）资金执行情况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项目预算资金</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1501.75</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万元，资金及时足额到位，到位率100%。截至报告期末，实际支付资金</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1501.75</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万元，预算执行率</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100</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%，资金支付进度与项目实施进度基本匹配，未出现资金大量沉淀或超进度支付问题。资金使用严格遵守财经法律法规及单位财务管理制度，实行专款专用、规范列支，无挤占、挪用、虚列支出等违规问题。</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 xml:space="preserve">             </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2</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）项目调整情况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项目实施过程中，因</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追加迁建项目工程建设部份尾款等</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原因对项目内容、预算金额、实施周期等进行调整，调整事由合理充分，已按规定履行报批程序。调整后项目实施方案、绩效目标同步优化完善，未对项目整体实施及绩效实现造成重大不利影响。</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 xml:space="preserve"> （</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3</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）项目执行结果</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项目按照批复实施方案有序推进，政府采购、合同管理、项目监理等环节规范合规。阶段性任务按计划完成，教学设备购置、场馆维修改造、培训服务保障、课题研究组织等工作推进顺畅。及时协调解决实施过程中的困难问题，项目实施质量符合预期要求。</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3.</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 xml:space="preserve">目标实现分析 </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default" w:ascii="Times New Roman" w:hAnsi="Times New Roman" w:cs="仿宋_GB2312"/>
          <w:color w:val="000000" w:themeColor="text1"/>
          <w:kern w:val="2"/>
          <w:sz w:val="32"/>
          <w:szCs w:val="32"/>
          <w:lang w:val="zh-CN"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一是</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产出目标完成情况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如</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全年计划完成</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师资</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培训</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100人</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次</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以上</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实际201</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人次参训、</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服务培训60个班次、培训学员4117人次、打造特色课程16门</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开展</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课题</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研究数量31个</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打造典型案例数量6个</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等，数量、质量、时效均达到绩效目标要求。</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二是</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 效益目标完成情况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有效提升干部理论素养和履职能力，强化理论宣传覆盖面，提高决策咨询成果转化率，改善办学保障条件，提升教学科研水平，社会效益显著。</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三是</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 满意度情况</w:t>
      </w:r>
      <w:r>
        <w:rPr>
          <w:rFonts w:hint="eastAsia" w:ascii="Times New Roman" w:hAnsi="Times New Roman" w:cs="仿宋_GB2312"/>
          <w:color w:val="000000" w:themeColor="text1"/>
          <w:kern w:val="2"/>
          <w:sz w:val="32"/>
          <w:szCs w:val="32"/>
          <w:lang w:val="zh-CN" w:eastAsia="zh-CN" w:bidi="ar-SA"/>
          <w14:textFill>
            <w14:solidFill>
              <w14:schemeClr w14:val="tx1"/>
            </w14:solidFill>
          </w14:textFill>
        </w:rPr>
        <w:t>，</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参训学员、教职工及相关单位综合满意度达</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98</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w:t>
      </w: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以上</w:t>
      </w:r>
      <w:r>
        <w:rPr>
          <w:rFonts w:hint="default" w:ascii="Times New Roman" w:hAnsi="Times New Roman" w:cs="仿宋_GB2312"/>
          <w:color w:val="000000" w:themeColor="text1"/>
          <w:kern w:val="2"/>
          <w:sz w:val="32"/>
          <w:szCs w:val="32"/>
          <w:lang w:val="zh-CN" w:eastAsia="zh-CN" w:bidi="ar-SA"/>
          <w14:textFill>
            <w14:solidFill>
              <w14:schemeClr w14:val="tx1"/>
            </w14:solidFill>
          </w14:textFill>
        </w:rPr>
        <w:t>，达到绩效目标。</w:t>
      </w:r>
    </w:p>
    <w:p>
      <w:pPr>
        <w:keepNext w:val="0"/>
        <w:keepLines w:val="0"/>
        <w:pageBreakBefore w:val="0"/>
        <w:numPr>
          <w:ilvl w:val="0"/>
          <w:numId w:val="6"/>
        </w:numPr>
        <w:kinsoku/>
        <w:wordWrap/>
        <w:overflowPunct/>
        <w:topLinePunct w:val="0"/>
        <w:autoSpaceDE/>
        <w:autoSpaceDN/>
        <w:bidi w:val="0"/>
        <w:adjustRightInd/>
        <w:spacing w:line="592" w:lineRule="exact"/>
        <w:ind w:left="-3" w:leftChars="0" w:firstLine="643" w:firstLineChars="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t>绩效结果应用情况。</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1.内部应用情况。（1）优化资源配置，提升资金效益。依据绩效评价结果科学统筹财政资金和校内资源，对干部教育培训、科研咨政、信息化建设等绩效优良、保障有力的重点项目，优先保障预算额度和要素投入；对执行缓慢、效益不高的工作任务，及时调整资金安排，严控非刚性、非重点支出。坚持“花钱必问效、无效必问责”，强化预算执行动态监控，推动资金使用更加规范高效，杜绝闲置浪费，切实提高公共资源配置效率和使用效益。（2）赋能主责主业，提升办学质量。紧扣党校干部培训、思想引领、理论建设、决策咨询核心职能，对照绩效结果深入复盘教学计划、课程设置、班次管理、师资安排等工作，优化培训内容和教学方式，增强教育培训针对性和实效性。将绩效完成情况作为教研课题立项、咨政成果报送的重要参考，引导教研人员聚焦市委中心工作开展研究，不断提升科研咨政水平。同时，以绩效结果为导向完善教学管理、科研管理、后勤管理等内部制度，推动内部治理更加规范有序。</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2.绩效结果信息公开情况。按照统一部署，在市政府门户网站、市委党校门户网站等官方渠道，依规对外公开部门整体绩效自评报告、重点项目绩效信息、预算绩效管理落实情况等内容，主动向社会展示党校履职成效和资金使用情况。公开前严格履行审核把关程序，确保不涉及国家秘密、工作秘密和敏感信息，维护信息安全。</w:t>
      </w:r>
    </w:p>
    <w:p>
      <w:pPr>
        <w:keepNext w:val="0"/>
        <w:keepLines w:val="0"/>
        <w:pageBreakBefore w:val="0"/>
        <w:numPr>
          <w:ilvl w:val="0"/>
          <w:numId w:val="0"/>
        </w:numPr>
        <w:pBdr>
          <w:bottom w:val="single" w:color="FFFFFF" w:sz="4" w:space="31"/>
        </w:pBdr>
        <w:kinsoku/>
        <w:wordWrap/>
        <w:overflowPunct/>
        <w:topLinePunct w:val="0"/>
        <w:autoSpaceDE/>
        <w:autoSpaceDN/>
        <w:bidi w:val="0"/>
        <w:spacing w:line="592" w:lineRule="exact"/>
        <w:ind w:firstLine="640" w:firstLineChars="200"/>
        <w:jc w:val="left"/>
        <w:textAlignment w:val="auto"/>
        <w:rPr>
          <w:rFonts w:hint="eastAsia" w:ascii="Times New Roman" w:hAnsi="Times New Roman"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cs="仿宋_GB2312"/>
          <w:color w:val="000000" w:themeColor="text1"/>
          <w:kern w:val="2"/>
          <w:sz w:val="32"/>
          <w:szCs w:val="32"/>
          <w:lang w:val="en-US" w:eastAsia="zh-CN" w:bidi="ar-SA"/>
          <w14:textFill>
            <w14:solidFill>
              <w14:schemeClr w14:val="tx1"/>
            </w14:solidFill>
          </w14:textFill>
        </w:rPr>
        <w:t>3.绩效整改反馈情况。坚持立行立改与长效治理相结合，针对绩效目标完成偏差、预算执行进度、教学科研质效、服务保障水平、内部管理运行等方面问题，逐条细化整改举措，扎实推进整改落实。校主要领导牵头抓总、分管领导具体督办，各科室对照任务狠抓落实，定期调度整改进展，及时解决整改过程中的难点堵点问题。</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eastAsia="zh-CN"/>
          <w14:textFill>
            <w14:solidFill>
              <w14:schemeClr w14:val="tx1"/>
            </w14:solidFill>
          </w14:textFill>
        </w:rPr>
        <w:t>四、</w:t>
      </w:r>
      <w:r>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t>评价结论及建议</w:t>
      </w:r>
    </w:p>
    <w:p>
      <w:pPr>
        <w:pStyle w:val="9"/>
        <w:keepNext w:val="0"/>
        <w:keepLines w:val="0"/>
        <w:pageBreakBefore w:val="0"/>
        <w:numPr>
          <w:ilvl w:val="0"/>
          <w:numId w:val="0"/>
        </w:numPr>
        <w:kinsoku/>
        <w:wordWrap/>
        <w:overflowPunct/>
        <w:topLinePunct w:val="0"/>
        <w:autoSpaceDE/>
        <w:autoSpaceDN/>
        <w:bidi w:val="0"/>
        <w:ind w:left="0" w:leftChars="0" w:firstLine="643" w:firstLineChars="200"/>
        <w:jc w:val="left"/>
        <w:textAlignment w:val="auto"/>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（一）评价结论。</w:t>
      </w:r>
    </w:p>
    <w:p>
      <w:pPr>
        <w:pStyle w:val="9"/>
        <w:keepNext w:val="0"/>
        <w:keepLines w:val="0"/>
        <w:pageBreakBefore w:val="0"/>
        <w:numPr>
          <w:ilvl w:val="0"/>
          <w:numId w:val="0"/>
        </w:numPr>
        <w:kinsoku/>
        <w:wordWrap/>
        <w:overflowPunct/>
        <w:topLinePunct w:val="0"/>
        <w:autoSpaceDE/>
        <w:autoSpaceDN/>
        <w:bidi w:val="0"/>
        <w:ind w:left="0" w:leftChars="0" w:firstLine="640" w:firstLineChars="200"/>
        <w:jc w:val="left"/>
        <w:textAlignment w:val="auto"/>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i w:val="0"/>
          <w:iCs w:val="0"/>
          <w:caps w:val="0"/>
          <w:color w:val="000000" w:themeColor="text1"/>
          <w:spacing w:val="0"/>
          <w:kern w:val="2"/>
          <w:sz w:val="32"/>
          <w:szCs w:val="32"/>
          <w:vertAlign w:val="baseline"/>
          <w:lang w:val="en-US" w:eastAsia="zh-CN" w:bidi="ar-SA"/>
          <w14:textFill>
            <w14:solidFill>
              <w14:schemeClr w14:val="tx1"/>
            </w14:solidFill>
          </w14:textFill>
        </w:rPr>
        <w:t xml:space="preserve"> </w:t>
      </w:r>
      <w:r>
        <w:rPr>
          <w:rFonts w:hint="eastAsia" w:ascii="Times New Roman" w:hAnsi="Times New Roman" w:cs="Times New Roman"/>
          <w:i w:val="0"/>
          <w:iCs w:val="0"/>
          <w:caps w:val="0"/>
          <w:color w:val="000000" w:themeColor="text1"/>
          <w:spacing w:val="0"/>
          <w:kern w:val="2"/>
          <w:sz w:val="32"/>
          <w:szCs w:val="32"/>
          <w:vertAlign w:val="baseline"/>
          <w:lang w:val="en-US" w:eastAsia="zh-CN" w:bidi="ar-SA"/>
          <w14:textFill>
            <w14:solidFill>
              <w14:schemeClr w14:val="tx1"/>
            </w14:solidFill>
          </w14:textFill>
        </w:rPr>
        <w:t>2025</w:t>
      </w:r>
      <w:r>
        <w:rPr>
          <w:rFonts w:hint="eastAsia" w:ascii="Times New Roman" w:hAnsi="Times New Roman" w:eastAsia="仿宋_GB2312" w:cs="Times New Roman"/>
          <w:i w:val="0"/>
          <w:iCs w:val="0"/>
          <w:caps w:val="0"/>
          <w:color w:val="000000" w:themeColor="text1"/>
          <w:spacing w:val="0"/>
          <w:kern w:val="2"/>
          <w:sz w:val="32"/>
          <w:szCs w:val="32"/>
          <w:vertAlign w:val="baseline"/>
          <w:lang w:val="en-US" w:eastAsia="zh-CN" w:bidi="ar-SA"/>
          <w14:textFill>
            <w14:solidFill>
              <w14:schemeClr w14:val="tx1"/>
            </w14:solidFill>
          </w14:textFill>
        </w:rPr>
        <w:t>年，我校积极履职，强化管理，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运行总体平稳，</w:t>
      </w:r>
      <w:r>
        <w:rPr>
          <w:rFonts w:hint="eastAsia" w:ascii="Times New Roman" w:hAnsi="Times New Roman" w:cs="Times New Roman"/>
          <w:color w:val="000000" w:themeColor="text1"/>
          <w:sz w:val="32"/>
          <w:szCs w:val="32"/>
          <w:lang w:val="en-US" w:eastAsia="zh-CN"/>
          <w14:textFill>
            <w14:solidFill>
              <w14:schemeClr w14:val="tx1"/>
            </w14:solidFill>
          </w14:textFill>
        </w:rPr>
        <w:t>各项工作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有序推进</w:t>
      </w:r>
      <w:r>
        <w:rPr>
          <w:rFonts w:hint="eastAsia" w:ascii="Times New Roman" w:hAnsi="Times New Roman"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i w:val="0"/>
          <w:iCs w:val="0"/>
          <w:caps w:val="0"/>
          <w:color w:val="000000" w:themeColor="text1"/>
          <w:spacing w:val="0"/>
          <w:kern w:val="2"/>
          <w:sz w:val="32"/>
          <w:szCs w:val="32"/>
          <w:vertAlign w:val="baseline"/>
          <w:lang w:val="en-US" w:eastAsia="zh-CN" w:bidi="ar-SA"/>
          <w14:textFill>
            <w14:solidFill>
              <w14:schemeClr w14:val="tx1"/>
            </w14:solidFill>
          </w14:textFill>
        </w:rPr>
        <w:t>较好完成了年度工作目标。</w:t>
      </w:r>
      <w:r>
        <w:rPr>
          <w:rFonts w:hint="eastAsia" w:ascii="Times New Roman" w:hAnsi="Times New Roman" w:cs="Times New Roman"/>
          <w:color w:val="000000" w:themeColor="text1"/>
          <w:sz w:val="32"/>
          <w:szCs w:val="32"/>
          <w:lang w:val="en-US" w:eastAsia="zh-CN"/>
          <w14:textFill>
            <w14:solidFill>
              <w14:schemeClr w14:val="tx1"/>
            </w14:solidFill>
          </w14:textFill>
        </w:rPr>
        <w:t>我校认真对照部门整体绩效指标体系，对本部门绩效履职效能、预算管理、财务管理、资产管理、采购管理、项目决策、项目执行、目标实现等方面进行了客观评价，自评得分为91.04分。</w:t>
      </w:r>
    </w:p>
    <w:p>
      <w:pPr>
        <w:pStyle w:val="7"/>
        <w:keepNext w:val="0"/>
        <w:keepLines w:val="0"/>
        <w:pageBreakBefore w:val="0"/>
        <w:kinsoku/>
        <w:wordWrap/>
        <w:overflowPunct/>
        <w:topLinePunct w:val="0"/>
        <w:autoSpaceDE/>
        <w:autoSpaceDN/>
        <w:bidi w:val="0"/>
        <w:spacing w:beforeLines="0"/>
        <w:ind w:firstLine="643" w:firstLineChars="200"/>
        <w:jc w:val="left"/>
        <w:textAlignment w:val="auto"/>
        <w:rPr>
          <w:rFonts w:hint="eastAsia" w:ascii="Times New Roman" w:hAnsi="Times New Roman" w:eastAsia="楷体" w:cs="Times New Roman"/>
          <w:b/>
          <w:bCs/>
          <w:i w:val="0"/>
          <w:iCs w:val="0"/>
          <w:caps w:val="0"/>
          <w:color w:val="000000" w:themeColor="text1"/>
          <w:spacing w:val="0"/>
          <w:kern w:val="2"/>
          <w:sz w:val="32"/>
          <w:szCs w:val="32"/>
          <w:vertAlign w:val="baseline"/>
          <w:lang w:val="en-US" w:eastAsia="zh-CN" w:bidi="ar-SA"/>
          <w14:textFill>
            <w14:solidFill>
              <w14:schemeClr w14:val="tx1"/>
            </w14:solidFill>
          </w14:textFill>
        </w:rPr>
      </w:pPr>
      <w:r>
        <w:rPr>
          <w:rFonts w:hint="eastAsia" w:ascii="Times New Roman" w:hAnsi="Times New Roman" w:eastAsia="楷体" w:cs="Times New Roman"/>
          <w:b/>
          <w:bCs/>
          <w:i w:val="0"/>
          <w:iCs w:val="0"/>
          <w:caps w:val="0"/>
          <w:color w:val="000000" w:themeColor="text1"/>
          <w:spacing w:val="0"/>
          <w:kern w:val="2"/>
          <w:sz w:val="32"/>
          <w:szCs w:val="32"/>
          <w:vertAlign w:val="baseline"/>
          <w:lang w:val="en-US" w:eastAsia="zh-CN" w:bidi="ar-SA"/>
          <w14:textFill>
            <w14:solidFill>
              <w14:schemeClr w14:val="tx1"/>
            </w14:solidFill>
          </w14:textFill>
        </w:rPr>
        <w:t>（二）存在问题。</w:t>
      </w:r>
    </w:p>
    <w:p>
      <w:pPr>
        <w:pStyle w:val="7"/>
        <w:keepNext w:val="0"/>
        <w:keepLines w:val="0"/>
        <w:pageBreakBefore w:val="0"/>
        <w:kinsoku/>
        <w:wordWrap/>
        <w:overflowPunct/>
        <w:topLinePunct w:val="0"/>
        <w:autoSpaceDE/>
        <w:autoSpaceDN/>
        <w:bidi w:val="0"/>
        <w:spacing w:beforeLines="0"/>
        <w:ind w:firstLine="640" w:firstLineChars="200"/>
        <w:jc w:val="left"/>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cs="Times New Roman"/>
          <w:color w:val="000000" w:themeColor="text1"/>
          <w:kern w:val="2"/>
          <w:sz w:val="32"/>
          <w:szCs w:val="32"/>
          <w:lang w:val="en-US" w:eastAsia="zh-CN" w:bidi="ar-SA"/>
          <w14:textFill>
            <w14:solidFill>
              <w14:schemeClr w14:val="tx1"/>
            </w14:solidFill>
          </w14:textFill>
        </w:rPr>
        <w:t>预算编制质量有待进一步提升。</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年初预算编制工作均严格执行财政预算编制制度及相关工作要求，按时保质完成预算上报。但预算编制的科学性、准确性把控不足，前期支出测算不够精细化，</w:t>
      </w:r>
      <w:r>
        <w:rPr>
          <w:rFonts w:hint="eastAsia" w:ascii="Times New Roman" w:hAnsi="Times New Roman" w:cs="Times New Roman"/>
          <w:color w:val="000000" w:themeColor="text1"/>
          <w:kern w:val="2"/>
          <w:sz w:val="32"/>
          <w:szCs w:val="32"/>
          <w:lang w:val="en-US" w:eastAsia="zh-CN" w:bidi="ar-SA"/>
          <w14:textFill>
            <w14:solidFill>
              <w14:schemeClr w14:val="tx1"/>
            </w14:solidFill>
          </w14:textFill>
        </w:rPr>
        <w:t>特别是政府采购和资产数据的编制方面，</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对全年业务开展节奏、支出发生时点、实际支出规模预估不够合理，造成年初预算安排和年终实际执行产生明显差距，预执匹配度不足，依据评分标准本项扣除相应分数。后续将完善预算编制事前论证机制，依托历史执行数据做实量化测算，切实提升预算编制质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楷体_GB2312" w:cs="楷体_GB2312"/>
          <w:b/>
          <w:bCs/>
          <w:color w:val="000000" w:themeColor="text1"/>
          <w:kern w:val="0"/>
          <w:sz w:val="32"/>
          <w:szCs w:val="32"/>
          <w:highlight w:val="none"/>
          <w:shd w:val="clear" w:color="auto" w:fill="FFFFFF"/>
          <w:lang w:val="zh-CN"/>
          <w14:textFill>
            <w14:solidFill>
              <w14:schemeClr w14:val="tx1"/>
            </w14:solidFill>
          </w14:textFill>
        </w:rPr>
        <w:t>（三）改进建议。</w:t>
      </w:r>
    </w:p>
    <w:p>
      <w:pPr>
        <w:pStyle w:val="7"/>
        <w:keepNext w:val="0"/>
        <w:keepLines w:val="0"/>
        <w:pageBreakBefore w:val="0"/>
        <w:kinsoku/>
        <w:wordWrap/>
        <w:overflowPunct/>
        <w:topLinePunct w:val="0"/>
        <w:autoSpaceDE/>
        <w:autoSpaceDN/>
        <w:bidi w:val="0"/>
        <w:spacing w:beforeLines="0"/>
        <w:ind w:firstLine="640" w:firstLineChars="200"/>
        <w:jc w:val="left"/>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强化预算执行全过程管控，提升执行质效</w:t>
      </w:r>
      <w:r>
        <w:rPr>
          <w:rFonts w:hint="eastAsia"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是科学细化预算编制，提前做好项目可行性论证和实施计划安排，确保预算与工作实际、实施进度高度匹配；二是建立预算执行动态监控机制，按月度、季度分析执行情况，对执行滞后项目及时预警、督促推进；三是加强工作统筹，将项目实施、业务开展与资金支付同步部署、同步落实，做到应支尽支、有序支付，切实提高预算执行均衡性和时效性。</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pPr>
    </w:p>
    <w:p>
      <w:pPr>
        <w:rPr>
          <w:rFonts w:hint="eastAsia" w:ascii="Times New Roman" w:hAnsi="Times New Roman" w:eastAsia="仿宋_GB2312" w:cs="Times New Roman"/>
          <w:caps w:val="0"/>
          <w:color w:val="000000" w:themeColor="text1"/>
          <w:kern w:val="2"/>
          <w:sz w:val="32"/>
          <w:szCs w:val="32"/>
          <w:lang w:val="en-US" w:eastAsia="zh-CN" w:bidi="ar-SA"/>
          <w14:textFill>
            <w14:solidFill>
              <w14:schemeClr w14:val="tx1"/>
            </w14:solidFill>
          </w14:textFill>
        </w:rPr>
      </w:pPr>
    </w:p>
    <w:p>
      <w:pPr>
        <w:pStyle w:val="6"/>
        <w:ind w:firstLine="640" w:firstLineChars="200"/>
        <w:rPr>
          <w:rFonts w:hint="eastAsia"/>
          <w:color w:val="000000" w:themeColor="text1"/>
          <w:lang w:val="en-US" w:eastAsia="zh-CN"/>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r>
        <w:rPr>
          <w:rFonts w:hint="eastAsia" w:cs="Times New Roman"/>
          <w:caps w:val="0"/>
          <w:color w:val="000000" w:themeColor="text1"/>
          <w:kern w:val="2"/>
          <w:sz w:val="32"/>
          <w:szCs w:val="32"/>
          <w:lang w:val="en-US" w:eastAsia="zh-CN" w:bidi="ar-SA"/>
          <w14:textFill>
            <w14:solidFill>
              <w14:schemeClr w14:val="tx1"/>
            </w14:solidFill>
          </w14:textFill>
        </w:rPr>
        <w:t>附表：部门预算项目支出绩效自评表（2025年度）</w:t>
      </w:r>
    </w:p>
    <w:p>
      <w:pPr>
        <w:keepNext w:val="0"/>
        <w:keepLines w:val="0"/>
        <w:widowControl w:val="0"/>
        <w:suppressLineNumbers w:val="0"/>
        <w:spacing w:before="0" w:beforeAutospacing="0" w:after="0" w:afterAutospacing="0" w:line="580" w:lineRule="exact"/>
        <w:ind w:left="0" w:right="0"/>
        <w:jc w:val="both"/>
        <w:outlineLvl w:val="9"/>
        <w:rPr>
          <w:rFonts w:hint="eastAsia" w:ascii="Times New Roman" w:hAnsi="Times New Roman" w:eastAsia="黑体" w:cs="黑体"/>
          <w:caps w:val="0"/>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黑体"/>
          <w:caps w:val="0"/>
          <w:color w:val="000000" w:themeColor="text1"/>
          <w:kern w:val="2"/>
          <w:sz w:val="32"/>
          <w:szCs w:val="24"/>
          <w:lang w:val="en-US" w:eastAsia="zh-CN" w:bidi="ar"/>
          <w14:textFill>
            <w14:solidFill>
              <w14:schemeClr w14:val="tx1"/>
            </w14:solidFill>
          </w14:textFill>
        </w:rPr>
        <w:t>附件2</w:t>
      </w:r>
    </w:p>
    <w:tbl>
      <w:tblPr>
        <w:tblStyle w:val="18"/>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9"/>
        <w:gridCol w:w="2048"/>
        <w:gridCol w:w="1765"/>
        <w:gridCol w:w="2258"/>
        <w:gridCol w:w="524"/>
        <w:gridCol w:w="1675"/>
        <w:gridCol w:w="524"/>
        <w:gridCol w:w="1094"/>
        <w:gridCol w:w="510"/>
        <w:gridCol w:w="486"/>
        <w:gridCol w:w="2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51030021T000000055166-中共自贡市委员会党校迁建项目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Style w:val="33"/>
                <w:color w:val="000000" w:themeColor="text1"/>
                <w:lang w:val="en-US" w:eastAsia="zh-CN" w:bidi="ar"/>
                <w14:textFill>
                  <w14:solidFill>
                    <w14:schemeClr w14:val="tx1"/>
                  </w14:solidFill>
                </w14:textFill>
              </w:rPr>
              <w:t>一是项目建设充分发挥党员干部培训主阵地的重要作用；二是项目建设为自贡市经济发展，做出新的贡献；三是项目的建设可以产生良好的社会效益，在建设期间可以为社会提供就业机会，为社会不同群体带来效益。项目可以加大干部教育培训力度，加强党的执政能力建设和先进性建设，充分发挥主渠道、主阵地作用，突出培训特点，增强培训实效，突出党校办学特色，推进改革创新，实现党校在干部教育培训机构中充当主力军和排头兵的作用，对于把自贡市各项事业推向前进具有十分重要的意义，促进社会的经济发展和社会的和谐稳定。</w:t>
            </w:r>
            <w:r>
              <w:rPr>
                <w:rFonts w:ascii="Arial" w:hAnsi="Arial" w:eastAsia="宋体" w:cs="Arial"/>
                <w:i w:val="0"/>
                <w:iCs w:val="0"/>
                <w:color w:val="000000" w:themeColor="text1"/>
                <w:kern w:val="0"/>
                <w:sz w:val="18"/>
                <w:szCs w:val="18"/>
                <w:u w:val="none"/>
                <w:lang w:val="en-US" w:eastAsia="zh-CN" w:bidi="ar"/>
                <w14:textFill>
                  <w14:solidFill>
                    <w14:schemeClr w14:val="tx1"/>
                  </w14:solidFill>
                </w14:textFill>
              </w:rPr>
              <w:t xml:space="preserve"> </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该项目自2018年9月15日实施至2019年8月12日项目预验收。2022年5月13日，建设单位组织勘察设计、施工和监理单位进行竣工验收，质量验收合格。2019年9月5日，中共自贡市委党校新校区项目举行揭牌仪式，开始试运行。2025年4月，完成竣工财务决算审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自贡市委党校（市行政学院）建设工程新建项目，建设地址在自贡市大安区寮北路东侧，建筑面积15868.08平方米，包括1号楼（礼堂）、2号楼（行政及辅助楼）、3号楼（科研楼）、4号楼（教学楼）、门卫室、地下车库及配套设施设备，经批复调整后，该项目总投资概算12859.58万元。2025年4月，该项目完成竣工财务决算审核，截至2024年11月30日，项目实际到位资金9078.62万元，实际完成投资总额11593.53万元。经审核，概算投资完成率90.15%，总体执行情况较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预算调整原因为：2025年追加迁建项目工程建设部分尾款902万元。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902.00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完成新校区1-4号楼修建面积</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15868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平方米</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15868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工程验收合格率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竣工财务决算完成时限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项目对党校干部培训事业发展和影响</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级</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优秀</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项目完成后可持续使用年限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70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70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该项目自评总分100分。各类设施设备使用率高，均能正常运行，能满足培训主阵地需求，未出现教职工投诉现象，满意度较高。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51030022T000000333035-市委党校运行维护工作经费（财政专户管理资金）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财政专户管理资金主要为以前年度收取的培训费用及省委党校研究生学费返还款，主要用于省委党校在职研究生培训，弥补学校运行维护经费，如租赁费、维修维护费、编外人员劳务费、办公设备购置等不足。</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严格按照省委党校要求，全面完成省委党校在职研究生培训任务。做好校区设施设备的日常维修维护管理等工作，确保学校各项功能正常运行。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本项目严格按照资金支付规定和合同的履约标准进行支付，如省委党校在职研究生培训费用、办公设备购置、设施设备维护等，相关明细和发票齐全。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预算调整原因为：年终财政专户管理资金收回。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省委党校研究生培训人数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121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打印机租赁数量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省委党校研究生毕业答辩通过率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办公设备使用年限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省委党校研究生学员满意度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办公设备和软件购置更新成本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11.48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9.58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该项目自评总分100分。按照省委党校在职研究生教育有关要求，自贡教学分部2025年全面完成了所有教学安排任务，日常管理规范高效，研究生办学质量得到各方普遍好评。学校严格按照绩效目标配备和完善相应设施，做好设施设备的日常维修维护，确保学校各项基本功能正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项目负责人：冯英、袁媛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51030022Y000000326260-市委党校教学科研培训经费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围绕党的重大理论、重大决策部署和市委、市政府中心工作等开展课题调研，出刊《盐都论坛》，开展理论研讨培训、学员宿舍陈列图书等工作。</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围绕党的重大理论、重大决策部署和市委、市政府中心工作等开展调研。《盐都论坛》出刊4期，被评为全市科协系统优秀学术二类期刊。举办全市党校系统教师科研能力提升培训班，教师科研素质整体提升。学员生活区创新设立“学思书架”96处，精选政治理论、领导著作类经典图书2000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按照年度计划完成科研工作管理人员及教师培训63人，出刊《盐都论坛》4期，开展对外学术交流单位50个，稳步提升科研工作质量与水平，为</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市委、市政府</w:t>
            </w: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科学决策提供重要参考。创新服务模式，与新华文轩合作构建“宿舍+教学楼”双空间阅读服务体系。精选政治理论、领导著作类经典图书2000册。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22.00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预算调整原因为：单位内部调剂该项目经费到其他项目使用。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22.00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16.76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学员宿舍陈列图书数量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册</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2000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培训科研工作管理人员及教师数量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出刊《盐都论坛》数量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提升图书服务水平</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促进对外学术交流的单位数量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50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该项目自评总分100分。本年度培训科研工作管理人员及教师63人，出刊《盐都论坛》4期，开展对外学术交流单位50个，科研工作有序开展，学术氛围日渐浓厚，为市委、市政府科学决策提供重要参考，完成效果达到预期目标。在巩固传统图书服务基础上持续创新服务模式，与新华文轩合作构建“宿舍+教学楼”双空间阅读服务体系，初步形成门类齐全、精准服务的智慧阅读生态，进一步提高了图书服务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项目负责人：朱忻钰、詹剑锋</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51030022Y000000381659-市委党校后勤保障工作经费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该项目主要是通过社会化购买物业服务，确保校区办公区域和教学公共区域的环境保洁、秩序管理、会议服务（会场布置摆放，茶水服务，卫生保洁等服务）、燃气、水电工程、绿化养护等工作的高效运行，以及弥补党校食堂工作人员劳务费用不足部分，同时用于租赁直饮水机、校园维修维护等。</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1.通过社会化购买物业服务，确保校区环境保洁、秩序管理、会议服务、水电工程、绿化养护等工作的高效进行，满足教职员工学习、工作的后勤保障需要。</w:t>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2.为满足后勤保障的基本物资和功能服务需求，确保学校各项功能正常运行，配置相应的设施设备，聘请专业的服务人员满足教职工的工作生活需求。</w:t>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3.做好校区设施设备的维修维护管理，保障设施设备的有效使用，促进办学质量提升。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严格按照资金支付规定和合同的履约标准进行支付，其中物业管理、设施设备维护、固定资产管理、电梯维修维护、食堂劳务服务等服务的合同续签均请示了校院委会，并与相应的供应商签订合同，严格按合同要求进行资金支付。同时，所有日常后勤保障物资的采购，均符合要求，相关明细和发票齐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88.55</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预算调整原因为：单位内部调剂其他项目经费到该项目使用。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88.55</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91.58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配置专业物业服务人员数量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校园维修维护次数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每季度物业服务评分考核优秀率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99</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受益学员数量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4117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可持续发展指标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物业服务时限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做好校区设施设备的维修维护管理，如电梯定期维保、电子教学设备维护、电路定期检查等，确保学校各项功能正常运行。通过社会化购买物业服务，确保校区环境保洁、秩序管理、会议服务、水电工程、绿化养护等工作的高效进行，为教职员工和学员的工作、学习、生活等方面提供充足保障，完成效果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51030023T000008373587-市委党校后勤运行经费（管理）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市委党校场地使用费收入，用于学校物业管理服务、维修维护等。</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市委党校场地使用费收入，2025年服务培训4117人次，60个班次，教学任务落实率100%。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2025年服务培训4117人次，60个班次，教学任务落实率100%。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预算调整原因为：年终非税成本类项目资金收回。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13.65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服务班次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60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服务人次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4117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对教学培训工作的促进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教学任务落实率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该项目自评总分100分。市委党校场地使用费收入，2025年服务培训4117人次，60个班次，教学任务落实率100%，促进了党校的教学培训工作，完成效果达到预期目标。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51030024T000010474317-市委党校对外合作培训经费（管理）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为贯彻落实《中国共产党党校（行政学院）工作条例》，适应新时代市县级党校分类建设需要，更好发挥本土特色教学基地、现场教学点的作用，市委党校持续加强对外办学的班次承接与相应保障，每年计划承接外来培训班5个，扩大自贡知名度，吸引更多省内外党员干部前来自贡学习。</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2025年度举办对外合作培训班33期，现场教学19次，参训学员2443人次，学员满意度达99.32%。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送培单位与外训部在充分对接沟通的基础上形成培训方案，报学校分管领导审批同意后与送培方签订培训协议。外训部按照培训协议聘请师资、安排课程和现场教学等内容，做好全程跟班服务和安全管理。培训结束，及时完善费用支付报销手续，按班结算和报销。学员从课程设置、师资水平、服务保障3个维度进行满意度测评。学校从财务、纪律等方面实行日常监管。外训部通过班主任带班考核制度对班主任进行全程考核监督，确保办班带班质量和效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14.40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预算调整原因为：2025年对外合作培训班次人次较年初预算有大幅增加。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14.40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185.50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承接外来培训班数量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培训学员数量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2443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培训计划按期完成率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提升党校对外培训知名度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参训学员满意度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99.32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该项目自评总分100分。市委党校外训部2025年承接外来培训班33期，开展现场教学次数19次，按时完成对外培训年度任务，提升了党校外训知名度，学员满意度达到99.32%。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项目负责人：缪姗姗</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51030024Y000010194269-其他运转支出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党校职工食堂费用，按72人X32元/人.天x193天计算，每年共需食堂费用约44.5万元，厉行节约压减后需费用43.7万元，公用经费列支一部分，剩余部分在常年专项中保障。</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为确保学校各项功能正常运行，提升队伍稳定性与凝聚力，为教职员工生活提供就餐保障，补贴学校食堂餐费。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本项目严格按照预算安排控制经费，我校按照早餐12元、午餐23元（其中教职工自行支付早餐1元、午餐2元，行政匹配早餐11元、午餐21元）的标准进行认真测算。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32.60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32.60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32.05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每天保障职工就餐人数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70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食堂服务时限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对党校后勤服务工作的促进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教职工满意度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人均伙食费标准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元/天</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31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根据教职工的饮食习惯和营养需求，科学制定每周食谱，做到菜品荤素搭配、营养均衡，严格执行成本核算制度，强化食堂各项成本的控制和管理，对学校办学质量工作有较大提升，得到教职工的普遍好评。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项目负责人：袁媛</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51030025T000013333570-2024年省级干部教育培训机构质量提升专项资金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为深入贯彻《干部教育培训工作条例》《全国干部教育培训规划（2023—2027年）》以及我省新一轮干部教育培训规划，深入实施习近平新时代中国特色社会主义思想凝心铸魂计划，为培养造就一支政治过硬、适应新时代要求、具备领导现代化建设能力的高素质干部队伍提供有力支持，切实发挥干部教育培训机构质量提升省级财政专项资金的激励引导作用，推动市委党校不断改善办学条件、提升办学质量水平，打造具有全国影响力的干部教育培训机构。</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按照专项资金管理各项规定，安全、有效使用专项资金，切实加大课程开发力度、开展有组织科研，开发各项教学系统、更新教学设施设备、组织教师开展业务能力培训，各项工作按既定目标全面完成。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该项目严格按照省下专项资金管理办法，对标目标任务，高效推动各项指标按进度实施，支付依据合规合法，与预算相符，完成效果达到预期目标。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themeColor="text1"/>
                <w:sz w:val="18"/>
                <w:szCs w:val="18"/>
                <w:u w:val="none"/>
                <w14:textFill>
                  <w14:solidFill>
                    <w14:schemeClr w14:val="tx1"/>
                  </w14:solidFill>
                </w14:textFill>
              </w:rPr>
            </w:pPr>
            <w:r>
              <w:rPr>
                <w:rFonts w:hint="eastAsia" w:ascii="黑体" w:hAnsi="黑体" w:eastAsia="黑体" w:cs="黑体"/>
                <w:i/>
                <w:iCs/>
                <w:color w:val="000000" w:themeColor="text1"/>
                <w:kern w:val="0"/>
                <w:sz w:val="18"/>
                <w:szCs w:val="18"/>
                <w:u w:val="none"/>
                <w:lang w:val="en-US" w:eastAsia="zh-CN" w:bidi="ar"/>
                <w14:textFill>
                  <w14:solidFill>
                    <w14:schemeClr w14:val="tx1"/>
                  </w14:solidFill>
                </w14:textFill>
              </w:rPr>
              <w:t>预算调整原因为：2025年新增下达了省级干部教育培训机构质量提升专项资金。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239.95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新建教室LED屏幕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平方米</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开展四库（课程、师资、点位、试题）建设数量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新建视频教学会议系统数量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套</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打造特色课程数量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门</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打造重点课程数量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门</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开展课题研究数量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13</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开发教学考试及学员管理系统数量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开展师资培训人次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编写专著教材数量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部</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开发精品教学线路</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打造典型案例数量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科研课题结项率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全市党校系统教师培训覆盖率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在教育培训干部、服务地方经济社会发展方面积极发挥作用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参训学员满意度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98.7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总分100分。数量指标方面，新建LED屏幕、视频会议系统，完成四库建设、特色及重点课程打造、课题研究、管理系统开发、师资培训、专著教材、精品线路及典型案例等全部目标；质量指标中科研课题结项率及教师培训覆盖率均达100%。效益指标显示，项目有效提升了干部教育培训水平，有力服务地方经济社会发展。参训学员满意度高。综合评定：资金使用规范高效，绩效目标全面实现，评价等级为“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项目负责人：何晓艳、朱忻钰、詹剑锋、董云</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themeColor="text1"/>
                <w:sz w:val="30"/>
                <w:szCs w:val="30"/>
                <w:u w:val="none"/>
                <w14:textFill>
                  <w14:solidFill>
                    <w14:schemeClr w14:val="tx1"/>
                  </w14:solidFill>
                </w14:textFill>
              </w:rPr>
            </w:pPr>
            <w:r>
              <w:rPr>
                <w:rFonts w:hint="eastAsia" w:ascii="黑体" w:hAnsi="宋体" w:eastAsia="黑体" w:cs="黑体"/>
                <w:b/>
                <w:bCs/>
                <w:i w:val="0"/>
                <w:iCs w:val="0"/>
                <w:color w:val="000000" w:themeColor="text1"/>
                <w:kern w:val="0"/>
                <w:sz w:val="30"/>
                <w:szCs w:val="30"/>
                <w:u w:val="none"/>
                <w:lang w:val="en-US" w:eastAsia="zh-CN" w:bidi="ar"/>
                <w14:textFill>
                  <w14:solidFill>
                    <w14:schemeClr w14:val="tx1"/>
                  </w14:solidFill>
                </w14:textFill>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51030025Y000012510649-驻村第一书记和工作队补助经费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中国共产党自贡市委员会党校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67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市委党校选派的驻村第一书记1人的补助经费。</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选优配强驻村第一书记，加强对驻村第一书记的日常管理和关心关爱，按规定保障工作经费和补贴。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按照安排，选派一名同志到大安区新民镇白果冲村担任驻村第一书记。市委党校强化保障支持，加强关心关爱，经常性了解其思想动态，促进安心工作，激励担当作为。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得分</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驻村第一书记生活补助保障率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选派驻村第一书记人数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发放及时率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对帮扶村工作的促进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提升驻村第一书记基层工作能力</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themeColor="text1"/>
                <w:sz w:val="16"/>
                <w:szCs w:val="16"/>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该项目自评得分100分。市委党校选优配强一名驻村第一书记到大安区新民镇白果冲村工作，加强对驻村第一书记日常管理和关心关爱，按规定保障工作经费和补贴。充分发挥党校职能优势，积极履行驻村第一书记职责，服从所在乡镇党委工作安排，与村“两委”、驻村工作队员等形成工作合力，共同推进各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themeColor="text1"/>
                <w:sz w:val="16"/>
                <w:szCs w:val="16"/>
                <w:u w:val="none"/>
                <w14:textFill>
                  <w14:solidFill>
                    <w14:schemeClr w14:val="tx1"/>
                  </w14:solidFill>
                </w14:textFill>
              </w:rPr>
            </w:pPr>
            <w:r>
              <w:rPr>
                <w:rFonts w:hint="eastAsia" w:ascii="微软雅黑" w:hAnsi="微软雅黑" w:eastAsia="微软雅黑" w:cs="微软雅黑"/>
                <w:i/>
                <w:iCs/>
                <w:color w:val="000000" w:themeColor="text1"/>
                <w:kern w:val="0"/>
                <w:sz w:val="16"/>
                <w:szCs w:val="16"/>
                <w:u w:val="none"/>
                <w:lang w:val="en-US" w:eastAsia="zh-CN" w:bidi="ar"/>
                <w14:textFill>
                  <w14:solidFill>
                    <w14:schemeClr w14:val="tx1"/>
                  </w14:solidFill>
                </w14:textFill>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项目负责人：冯均、陈莎</w:t>
            </w:r>
          </w:p>
        </w:tc>
        <w:tc>
          <w:tcPr>
            <w:tcW w:w="68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themeColor="text1"/>
                <w:sz w:val="18"/>
                <w:szCs w:val="18"/>
                <w:u w:val="none"/>
                <w14:textFill>
                  <w14:solidFill>
                    <w14:schemeClr w14:val="tx1"/>
                  </w14:solidFill>
                </w14:textFill>
              </w:rPr>
            </w:pPr>
            <w:r>
              <w:rPr>
                <w:rFonts w:hint="eastAsia" w:ascii="黑体" w:hAnsi="黑体" w:eastAsia="黑体" w:cs="黑体"/>
                <w:i w:val="0"/>
                <w:iCs w:val="0"/>
                <w:color w:val="000000" w:themeColor="text1"/>
                <w:kern w:val="0"/>
                <w:sz w:val="18"/>
                <w:szCs w:val="18"/>
                <w:u w:val="none"/>
                <w:lang w:val="en-US" w:eastAsia="zh-CN" w:bidi="ar"/>
                <w14:textFill>
                  <w14:solidFill>
                    <w14:schemeClr w14:val="tx1"/>
                  </w14:solidFill>
                </w14:textFill>
              </w:rPr>
              <w:t>财务负责人：万亚琴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05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77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26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68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2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1095"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51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4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c>
          <w:tcPr>
            <w:tcW w:w="2550" w:type="dxa"/>
            <w:tcBorders>
              <w:top w:val="nil"/>
              <w:left w:val="nil"/>
              <w:bottom w:val="nil"/>
              <w:right w:val="nil"/>
            </w:tcBorders>
            <w:shd w:val="clear" w:color="auto" w:fill="auto"/>
            <w:vAlign w:val="center"/>
          </w:tcPr>
          <w:p>
            <w:pPr>
              <w:rPr>
                <w:rFonts w:hint="eastAsia" w:ascii="宋体" w:hAnsi="宋体" w:eastAsia="宋体" w:cs="宋体"/>
                <w:i w:val="0"/>
                <w:iCs w:val="0"/>
                <w:color w:val="000000" w:themeColor="text1"/>
                <w:sz w:val="18"/>
                <w:szCs w:val="18"/>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15"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适用用户：部门用户、单位用户</w:t>
            </w:r>
          </w:p>
        </w:tc>
      </w:tr>
    </w:tbl>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aps w:val="0"/>
          <w:color w:val="000000" w:themeColor="text1"/>
          <w:sz w:val="32"/>
          <w:szCs w:val="32"/>
          <w:highlight w:val="none"/>
          <w14:textFill>
            <w14:solidFill>
              <w14:schemeClr w14:val="tx1"/>
            </w14:solidFill>
          </w14:textFill>
        </w:rPr>
        <w:sectPr>
          <w:pgSz w:w="16838" w:h="11906" w:orient="landscape"/>
          <w:pgMar w:top="1800" w:right="1440" w:bottom="1800" w:left="1440" w:header="851" w:footer="992" w:gutter="0"/>
          <w:pgNumType w:fmt="decimal"/>
          <w:cols w:space="425" w:num="1"/>
          <w:docGrid w:type="lines" w:linePitch="312" w:charSpace="0"/>
        </w:sectPr>
      </w:pPr>
      <w:bookmarkStart w:id="58" w:name="_Toc15396618"/>
      <w:bookmarkStart w:id="59" w:name="_Toc31444"/>
    </w:p>
    <w:p>
      <w:pPr>
        <w:keepNext w:val="0"/>
        <w:keepLines w:val="0"/>
        <w:pageBreakBefore w:val="0"/>
        <w:kinsoku/>
        <w:wordWrap/>
        <w:overflowPunct/>
        <w:topLinePunct w:val="0"/>
        <w:autoSpaceDE/>
        <w:autoSpaceDN/>
        <w:bidi w:val="0"/>
        <w:spacing w:line="572" w:lineRule="exact"/>
        <w:jc w:val="left"/>
        <w:textAlignment w:val="auto"/>
        <w:outlineLvl w:val="9"/>
        <w:rPr>
          <w:rFonts w:hint="eastAsia" w:eastAsia="黑体" w:cs="黑体"/>
          <w: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黑体"/>
          <w:caps w:val="0"/>
          <w:color w:val="000000" w:themeColor="text1"/>
          <w:sz w:val="32"/>
          <w:szCs w:val="32"/>
          <w:highlight w:val="none"/>
          <w14:textFill>
            <w14:solidFill>
              <w14:schemeClr w14:val="tx1"/>
            </w14:solidFill>
          </w14:textFill>
        </w:rPr>
        <w:t>附件</w:t>
      </w:r>
      <w:r>
        <w:rPr>
          <w:rFonts w:hint="eastAsia" w:eastAsia="黑体" w:cs="黑体"/>
          <w:caps w:val="0"/>
          <w:color w:val="000000" w:themeColor="text1"/>
          <w:sz w:val="32"/>
          <w:szCs w:val="32"/>
          <w:highlight w:val="none"/>
          <w:lang w:val="en-US" w:eastAsia="zh-CN"/>
          <w14:textFill>
            <w14:solidFill>
              <w14:schemeClr w14:val="tx1"/>
            </w14:solidFill>
          </w14:textFill>
        </w:rPr>
        <w:t>2</w:t>
      </w:r>
    </w:p>
    <w:p>
      <w:pPr>
        <w:pStyle w:val="2"/>
        <w:rPr>
          <w:rFonts w:hint="eastAsia"/>
          <w:color w:val="000000" w:themeColor="text1"/>
          <w:lang w:val="en-US"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中共自贡市委员会</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党校迁建项目</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w:t>
      </w:r>
    </w:p>
    <w:p>
      <w:pPr>
        <w:pStyle w:val="28"/>
        <w:keepNext w:val="0"/>
        <w:keepLines w:val="0"/>
        <w:pageBreakBefore w:val="0"/>
        <w:kinsoku/>
        <w:wordWrap/>
        <w:overflowPunct/>
        <w:topLinePunct w:val="0"/>
        <w:autoSpaceDE/>
        <w:autoSpaceDN/>
        <w:bidi w:val="0"/>
        <w:spacing w:line="540" w:lineRule="exact"/>
        <w:ind w:firstLine="883"/>
        <w:jc w:val="left"/>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p>
    <w:p>
      <w:pPr>
        <w:keepNext w:val="0"/>
        <w:keepLines w:val="0"/>
        <w:pageBreakBefore w:val="0"/>
        <w:numPr>
          <w:ilvl w:val="0"/>
          <w:numId w:val="7"/>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项目概况</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eastAsia="楷体_GB2312" w:cs="楷体_GB2312"/>
          <w:bCs/>
          <w:color w:val="000000" w:themeColor="text1"/>
          <w:lang w:val="zh-CN" w:bidi="ar"/>
          <w14:textFill>
            <w14:solidFill>
              <w14:schemeClr w14:val="tx1"/>
            </w14:solidFill>
          </w14:textFill>
        </w:rPr>
        <w:t>（一）</w:t>
      </w:r>
      <w:r>
        <w:rPr>
          <w:rFonts w:hint="eastAsia" w:ascii="Times New Roman" w:hAnsi="Times New Roman" w:eastAsia="楷体_GB2312" w:cs="楷体_GB2312"/>
          <w:bCs/>
          <w:color w:val="000000" w:themeColor="text1"/>
          <w:lang w:val="zh-CN" w:bidi="ar"/>
          <w14:textFill>
            <w14:solidFill>
              <w14:schemeClr w14:val="tx1"/>
            </w14:solidFill>
          </w14:textFill>
        </w:rPr>
        <w:t>项目资金申报及批复情况。</w:t>
      </w:r>
      <w:r>
        <w:rPr>
          <w:rFonts w:hint="eastAsia" w:ascii="Times New Roman" w:hAnsi="Times New Roman" w:eastAsia="仿宋" w:cs="仿宋"/>
          <w:b w:val="0"/>
          <w:bCs w:val="0"/>
          <w:color w:val="000000" w:themeColor="text1"/>
          <w:lang w:val="en-US" w:eastAsia="zh-CN" w:bidi="ar"/>
          <w14:textFill>
            <w14:solidFill>
              <w14:schemeClr w14:val="tx1"/>
            </w14:solidFill>
          </w14:textFill>
        </w:rPr>
        <w:t>自贡市委党校（市行政学院）建设工程项目截至2024年11月30日，实际到位资金9078.62万元，实际完成投资总额</w:t>
      </w:r>
      <w:r>
        <w:rPr>
          <w:rFonts w:hint="eastAsia" w:ascii="Times New Roman" w:hAnsi="Times New Roman" w:eastAsia="仿宋" w:cs="仿宋"/>
          <w:b w:val="0"/>
          <w:bCs w:val="0"/>
          <w:color w:val="000000" w:themeColor="text1"/>
          <w:lang w:val="zh-CN" w:bidi="ar"/>
          <w14:textFill>
            <w14:solidFill>
              <w14:schemeClr w14:val="tx1"/>
            </w14:solidFill>
          </w14:textFill>
        </w:rPr>
        <w:t>11593.53万</w:t>
      </w:r>
      <w:r>
        <w:rPr>
          <w:rFonts w:hint="eastAsia" w:ascii="Times New Roman" w:hAnsi="Times New Roman" w:eastAsia="仿宋" w:cs="仿宋"/>
          <w:b w:val="0"/>
          <w:bCs w:val="0"/>
          <w:color w:val="000000" w:themeColor="text1"/>
          <w:lang w:val="en-US" w:eastAsia="zh-CN" w:bidi="ar"/>
          <w14:textFill>
            <w14:solidFill>
              <w14:schemeClr w14:val="tx1"/>
            </w14:solidFill>
          </w14:textFill>
        </w:rPr>
        <w:t>元。</w:t>
      </w:r>
      <w:r>
        <w:rPr>
          <w:rFonts w:hint="eastAsia" w:ascii="Times New Roman" w:hAnsi="Times New Roman" w:eastAsia="仿宋" w:cs="仿宋"/>
          <w:b w:val="0"/>
          <w:bCs w:val="0"/>
          <w:color w:val="000000" w:themeColor="text1"/>
          <w:lang w:val="zh-CN" w:eastAsia="zh-CN" w:bidi="ar"/>
          <w14:textFill>
            <w14:solidFill>
              <w14:schemeClr w14:val="tx1"/>
            </w14:solidFill>
          </w14:textFill>
        </w:rPr>
        <w:t>该项目为跨年支付项目，</w:t>
      </w:r>
      <w:r>
        <w:rPr>
          <w:rFonts w:hint="eastAsia" w:ascii="Times New Roman" w:hAnsi="Times New Roman" w:eastAsia="仿宋" w:cs="仿宋"/>
          <w:b w:val="0"/>
          <w:bCs w:val="0"/>
          <w:color w:val="000000" w:themeColor="text1"/>
          <w:lang w:val="en-US" w:eastAsia="zh-CN" w:bidi="ar"/>
          <w14:textFill>
            <w14:solidFill>
              <w14:schemeClr w14:val="tx1"/>
            </w14:solidFill>
          </w14:textFill>
        </w:rPr>
        <w:t>2025年向市财政申请拨款902万元支付建安工程部分尾款</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hint="default" w:ascii="Times New Roman" w:hAnsi="Times New Roman" w:eastAsia="仿宋" w:cs="仿宋"/>
          <w:color w:val="000000" w:themeColor="text1"/>
          <w:sz w:val="32"/>
          <w:szCs w:val="24"/>
          <w:lang w:val="en-US"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（二）项目绩效目标。</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本年度计划完成</w:t>
      </w:r>
      <w:r>
        <w:rPr>
          <w:rFonts w:hint="eastAsia" w:ascii="Times New Roman" w:hAnsi="Times New Roman" w:eastAsia="仿宋" w:cs="仿宋"/>
          <w:b w:val="0"/>
          <w:bCs w:val="0"/>
          <w:color w:val="000000" w:themeColor="text1"/>
          <w:lang w:val="en-US" w:eastAsia="zh-CN" w:bidi="ar"/>
          <w14:textFill>
            <w14:solidFill>
              <w14:schemeClr w14:val="tx1"/>
            </w14:solidFill>
          </w14:textFill>
        </w:rPr>
        <w:t>自贡市委党校（市行政学院）建设工程</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项目竣工财务决算，完成</w:t>
      </w:r>
      <w:r>
        <w:rPr>
          <w:rFonts w:hint="eastAsia" w:ascii="Times New Roman" w:hAnsi="Times New Roman" w:eastAsia="仿宋" w:cs="仿宋"/>
          <w:b w:val="0"/>
          <w:bCs w:val="0"/>
          <w:color w:val="000000" w:themeColor="text1"/>
          <w:lang w:val="en-US" w:eastAsia="zh-CN" w:bidi="ar"/>
          <w14:textFill>
            <w14:solidFill>
              <w14:schemeClr w14:val="tx1"/>
            </w14:solidFill>
          </w14:textFill>
        </w:rPr>
        <w:t>项目部分尾款</w:t>
      </w:r>
      <w:r>
        <w:rPr>
          <w:rFonts w:hint="eastAsia" w:ascii="Times New Roman" w:hAnsi="Times New Roman" w:eastAsia="仿宋" w:cs="仿宋"/>
          <w:color w:val="000000" w:themeColor="text1"/>
          <w:sz w:val="32"/>
          <w:szCs w:val="24"/>
          <w:highlight w:val="none"/>
          <w:lang w:val="zh-CN" w:bidi="ar"/>
          <w14:textFill>
            <w14:solidFill>
              <w14:schemeClr w14:val="tx1"/>
            </w14:solidFill>
          </w14:textFill>
        </w:rPr>
        <w:t>支付。</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（三）项目资金申报相符性。</w:t>
      </w:r>
      <w:r>
        <w:rPr>
          <w:rFonts w:hint="eastAsia" w:ascii="Times New Roman" w:hAnsi="Times New Roman" w:eastAsia="仿宋" w:cs="仿宋"/>
          <w:b w:val="0"/>
          <w:bCs w:val="0"/>
          <w:color w:val="000000" w:themeColor="text1"/>
          <w:lang w:val="zh-CN" w:bidi="ar"/>
          <w14:textFill>
            <w14:solidFill>
              <w14:schemeClr w14:val="tx1"/>
            </w14:solidFill>
          </w14:textFill>
        </w:rPr>
        <w:t>我校</w:t>
      </w:r>
      <w:r>
        <w:rPr>
          <w:rFonts w:hint="eastAsia" w:eastAsia="仿宋" w:cs="仿宋"/>
          <w:b w:val="0"/>
          <w:bCs w:val="0"/>
          <w:color w:val="000000" w:themeColor="text1"/>
          <w:lang w:val="en-US" w:eastAsia="zh-CN" w:bidi="ar"/>
          <w14:textFill>
            <w14:solidFill>
              <w14:schemeClr w14:val="tx1"/>
            </w14:solidFill>
          </w14:textFill>
        </w:rPr>
        <w:t>按规定</w:t>
      </w:r>
      <w:r>
        <w:rPr>
          <w:rFonts w:hint="eastAsia" w:ascii="Times New Roman" w:hAnsi="Times New Roman" w:eastAsia="仿宋" w:cs="仿宋"/>
          <w:b w:val="0"/>
          <w:bCs w:val="0"/>
          <w:color w:val="000000" w:themeColor="text1"/>
          <w:lang w:val="zh-CN" w:bidi="ar"/>
          <w14:textFill>
            <w14:solidFill>
              <w14:schemeClr w14:val="tx1"/>
            </w14:solidFill>
          </w14:textFill>
        </w:rPr>
        <w:t>进行了资金申报，申报目标切实可行。在实际执行过程中，</w:t>
      </w:r>
      <w:r>
        <w:rPr>
          <w:rFonts w:hint="eastAsia" w:eastAsia="仿宋" w:cs="仿宋"/>
          <w:b w:val="0"/>
          <w:bCs w:val="0"/>
          <w:color w:val="000000" w:themeColor="text1"/>
          <w:lang w:val="en-US" w:eastAsia="zh-CN" w:bidi="ar"/>
          <w14:textFill>
            <w14:solidFill>
              <w14:schemeClr w14:val="tx1"/>
            </w14:solidFill>
          </w14:textFill>
        </w:rPr>
        <w:t>项目工程尾款的支付</w:t>
      </w:r>
      <w:r>
        <w:rPr>
          <w:rFonts w:hint="eastAsia" w:ascii="Times New Roman" w:hAnsi="Times New Roman" w:eastAsia="仿宋" w:cs="仿宋"/>
          <w:b w:val="0"/>
          <w:bCs w:val="0"/>
          <w:color w:val="000000" w:themeColor="text1"/>
          <w:lang w:val="zh-CN" w:bidi="ar"/>
          <w14:textFill>
            <w14:solidFill>
              <w14:schemeClr w14:val="tx1"/>
            </w14:solidFill>
          </w14:textFill>
        </w:rPr>
        <w:t>，均经过校院委</w:t>
      </w:r>
      <w:r>
        <w:rPr>
          <w:rFonts w:hint="eastAsia" w:eastAsia="仿宋" w:cs="仿宋"/>
          <w:b w:val="0"/>
          <w:bCs w:val="0"/>
          <w:color w:val="000000" w:themeColor="text1"/>
          <w:lang w:val="zh-CN" w:bidi="ar"/>
          <w14:textFill>
            <w14:solidFill>
              <w14:schemeClr w14:val="tx1"/>
            </w14:solidFill>
          </w14:textFill>
        </w:rPr>
        <w:t>会</w:t>
      </w:r>
      <w:r>
        <w:rPr>
          <w:rFonts w:hint="eastAsia" w:ascii="Times New Roman" w:hAnsi="Times New Roman" w:eastAsia="仿宋" w:cs="仿宋"/>
          <w:b w:val="0"/>
          <w:bCs w:val="0"/>
          <w:color w:val="000000" w:themeColor="text1"/>
          <w:lang w:val="zh-CN" w:bidi="ar"/>
          <w14:textFill>
            <w14:solidFill>
              <w14:schemeClr w14:val="tx1"/>
            </w14:solidFill>
          </w14:textFill>
        </w:rPr>
        <w:t>审议，落实过程中，严格遵照相关标准执行</w:t>
      </w:r>
      <w:r>
        <w:rPr>
          <w:rFonts w:hint="eastAsia" w:eastAsia="仿宋" w:cs="仿宋"/>
          <w:b w:val="0"/>
          <w:bCs w:val="0"/>
          <w:color w:val="000000" w:themeColor="text1"/>
          <w:lang w:val="zh-CN" w:bidi="ar"/>
          <w14:textFill>
            <w14:solidFill>
              <w14:schemeClr w14:val="tx1"/>
            </w14:solidFill>
          </w14:textFill>
        </w:rPr>
        <w:t>，</w:t>
      </w:r>
      <w:r>
        <w:rPr>
          <w:rFonts w:hint="eastAsia" w:eastAsia="仿宋" w:cs="仿宋"/>
          <w:b w:val="0"/>
          <w:bCs w:val="0"/>
          <w:color w:val="000000" w:themeColor="text1"/>
          <w:lang w:val="en-US" w:eastAsia="zh-CN" w:bidi="ar"/>
          <w14:textFill>
            <w14:solidFill>
              <w14:schemeClr w14:val="tx1"/>
            </w14:solidFill>
          </w14:textFill>
        </w:rPr>
        <w:t>收齐各类报账佐证资料，请法律顾问多次审核把关，确保支付合规合法</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二、项目实施及管理情况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楷体_GB2312" w:cs="楷体_GB2312"/>
          <w:bCs/>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（一）资金计划、到位及使用情况。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bidi="ar"/>
          <w14:textFill>
            <w14:solidFill>
              <w14:schemeClr w14:val="tx1"/>
            </w14:solidFill>
          </w14:textFill>
        </w:rPr>
      </w:pPr>
      <w:r>
        <w:rPr>
          <w:rFonts w:hint="eastAsia" w:ascii="Times New Roman" w:hAnsi="Times New Roman" w:eastAsia="楷体_GB2312" w:cs="楷体_GB2312"/>
          <w:bCs/>
          <w:color w:val="000000" w:themeColor="text1"/>
          <w:lang w:val="en-US" w:eastAsia="zh-CN" w:bidi="ar"/>
          <w14:textFill>
            <w14:solidFill>
              <w14:schemeClr w14:val="tx1"/>
            </w14:solidFill>
          </w14:textFill>
        </w:rPr>
        <w:t>1.</w:t>
      </w:r>
      <w:r>
        <w:rPr>
          <w:rFonts w:hint="eastAsia" w:ascii="Times New Roman" w:hAnsi="Times New Roman" w:eastAsia="楷体_GB2312" w:cs="楷体_GB2312"/>
          <w:bCs/>
          <w:color w:val="000000" w:themeColor="text1"/>
          <w:lang w:val="zh-CN" w:bidi="ar"/>
          <w14:textFill>
            <w14:solidFill>
              <w14:schemeClr w14:val="tx1"/>
            </w14:solidFill>
          </w14:textFill>
        </w:rPr>
        <w:t>资金计划及到位。</w:t>
      </w:r>
      <w:r>
        <w:rPr>
          <w:rFonts w:hint="eastAsia" w:ascii="Times New Roman" w:hAnsi="Times New Roman" w:eastAsia="仿宋" w:cs="仿宋"/>
          <w:b w:val="0"/>
          <w:bCs w:val="0"/>
          <w:color w:val="000000" w:themeColor="text1"/>
          <w:lang w:val="zh-CN" w:bidi="ar"/>
          <w14:textFill>
            <w14:solidFill>
              <w14:schemeClr w14:val="tx1"/>
            </w14:solidFill>
          </w14:textFill>
        </w:rPr>
        <w:t>该项目</w:t>
      </w:r>
      <w:r>
        <w:rPr>
          <w:rFonts w:hint="eastAsia" w:ascii="Times New Roman" w:hAnsi="Times New Roman" w:eastAsia="仿宋" w:cs="仿宋"/>
          <w:b w:val="0"/>
          <w:bCs w:val="0"/>
          <w:color w:val="000000" w:themeColor="text1"/>
          <w:lang w:bidi="ar"/>
          <w14:textFill>
            <w14:solidFill>
              <w14:schemeClr w14:val="tx1"/>
            </w14:solidFill>
          </w14:textFill>
        </w:rPr>
        <w:t>资金</w:t>
      </w:r>
      <w:r>
        <w:rPr>
          <w:rFonts w:hint="eastAsia" w:ascii="Times New Roman" w:hAnsi="Times New Roman" w:eastAsia="仿宋" w:cs="仿宋"/>
          <w:b w:val="0"/>
          <w:bCs w:val="0"/>
          <w:color w:val="000000" w:themeColor="text1"/>
          <w:lang w:val="en-US" w:eastAsia="zh-CN" w:bidi="ar"/>
          <w14:textFill>
            <w14:solidFill>
              <w14:schemeClr w14:val="tx1"/>
            </w14:solidFill>
          </w14:textFill>
        </w:rPr>
        <w:t>202</w:t>
      </w:r>
      <w:r>
        <w:rPr>
          <w:rFonts w:hint="eastAsia" w:eastAsia="仿宋" w:cs="仿宋"/>
          <w:b w:val="0"/>
          <w:bCs w:val="0"/>
          <w:color w:val="000000" w:themeColor="text1"/>
          <w:lang w:val="en-US" w:eastAsia="zh-CN" w:bidi="ar"/>
          <w14:textFill>
            <w14:solidFill>
              <w14:schemeClr w14:val="tx1"/>
            </w14:solidFill>
          </w14:textFill>
        </w:rPr>
        <w:t>5</w:t>
      </w:r>
      <w:r>
        <w:rPr>
          <w:rFonts w:hint="eastAsia" w:ascii="Times New Roman" w:hAnsi="Times New Roman" w:eastAsia="仿宋" w:cs="仿宋"/>
          <w:b w:val="0"/>
          <w:bCs w:val="0"/>
          <w:color w:val="000000" w:themeColor="text1"/>
          <w:lang w:val="en-US" w:eastAsia="zh-CN" w:bidi="ar"/>
          <w14:textFill>
            <w14:solidFill>
              <w14:schemeClr w14:val="tx1"/>
            </w14:solidFill>
          </w14:textFill>
        </w:rPr>
        <w:t>年</w:t>
      </w:r>
      <w:r>
        <w:rPr>
          <w:rFonts w:hint="eastAsia" w:eastAsia="仿宋" w:cs="仿宋"/>
          <w:b w:val="0"/>
          <w:bCs w:val="0"/>
          <w:color w:val="000000" w:themeColor="text1"/>
          <w:lang w:val="en-US" w:eastAsia="zh-CN" w:bidi="ar"/>
          <w14:textFill>
            <w14:solidFill>
              <w14:schemeClr w14:val="tx1"/>
            </w14:solidFill>
          </w14:textFill>
        </w:rPr>
        <w:t>市财政</w:t>
      </w:r>
      <w:r>
        <w:rPr>
          <w:rFonts w:hint="eastAsia" w:ascii="Times New Roman" w:hAnsi="Times New Roman" w:eastAsia="仿宋" w:cs="仿宋"/>
          <w:b w:val="0"/>
          <w:bCs w:val="0"/>
          <w:color w:val="000000" w:themeColor="text1"/>
          <w:lang w:val="en-US" w:eastAsia="zh-CN" w:bidi="ar"/>
          <w14:textFill>
            <w14:solidFill>
              <w14:schemeClr w14:val="tx1"/>
            </w14:solidFill>
          </w14:textFill>
        </w:rPr>
        <w:t>安排</w:t>
      </w:r>
      <w:r>
        <w:rPr>
          <w:rFonts w:hint="eastAsia" w:eastAsia="仿宋" w:cs="仿宋"/>
          <w:b w:val="0"/>
          <w:bCs w:val="0"/>
          <w:color w:val="000000" w:themeColor="text1"/>
          <w:lang w:val="en-US" w:eastAsia="zh-CN" w:bidi="ar"/>
          <w14:textFill>
            <w14:solidFill>
              <w14:schemeClr w14:val="tx1"/>
            </w14:solidFill>
          </w14:textFill>
        </w:rPr>
        <w:t>902</w:t>
      </w:r>
      <w:r>
        <w:rPr>
          <w:rFonts w:hint="eastAsia" w:eastAsia="仿宋" w:cs="Times New Roman"/>
          <w:b w:val="0"/>
          <w:bCs w:val="0"/>
          <w:color w:val="000000" w:themeColor="text1"/>
          <w:lang w:val="en-US" w:eastAsia="zh-CN" w:bidi="ar"/>
          <w14:textFill>
            <w14:solidFill>
              <w14:schemeClr w14:val="tx1"/>
            </w14:solidFill>
          </w14:textFill>
        </w:rPr>
        <w:t>万</w:t>
      </w:r>
      <w:r>
        <w:rPr>
          <w:rFonts w:hint="eastAsia" w:ascii="Times New Roman" w:hAnsi="Times New Roman" w:eastAsia="仿宋" w:cs="仿宋"/>
          <w:b w:val="0"/>
          <w:bCs w:val="0"/>
          <w:color w:val="000000" w:themeColor="text1"/>
          <w:lang w:bidi="ar"/>
          <w14:textFill>
            <w14:solidFill>
              <w14:schemeClr w14:val="tx1"/>
            </w14:solidFill>
          </w14:textFill>
        </w:rPr>
        <w:t>元，全部为一般公共预算财政拨款资金。资金到位及时。</w:t>
      </w:r>
    </w:p>
    <w:p>
      <w:pPr>
        <w:pStyle w:val="28"/>
        <w:keepNext w:val="0"/>
        <w:keepLines w:val="0"/>
        <w:pageBreakBefore w:val="0"/>
        <w:kinsoku/>
        <w:wordWrap/>
        <w:overflowPunct/>
        <w:topLinePunct w:val="0"/>
        <w:autoSpaceDE/>
        <w:autoSpaceDN/>
        <w:bidi w:val="0"/>
        <w:spacing w:line="540" w:lineRule="exact"/>
        <w:ind w:firstLine="640" w:firstLineChars="200"/>
        <w:jc w:val="left"/>
        <w:textAlignment w:val="auto"/>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pPr>
      <w:r>
        <w:rPr>
          <w:rFonts w:hint="eastAsia" w:ascii="Times New Roman" w:hAnsi="Times New Roman" w:eastAsia="楷体_GB2312" w:cs="楷体_GB2312"/>
          <w:bCs/>
          <w:color w:val="000000" w:themeColor="text1"/>
          <w:kern w:val="2"/>
          <w:sz w:val="32"/>
          <w:szCs w:val="24"/>
          <w:lang w:val="en-US" w:eastAsia="zh-CN" w:bidi="ar"/>
          <w14:textFill>
            <w14:solidFill>
              <w14:schemeClr w14:val="tx1"/>
            </w14:solidFill>
          </w14:textFill>
        </w:rPr>
        <w:t>2.</w:t>
      </w:r>
      <w:r>
        <w:rPr>
          <w:rFonts w:hint="eastAsia" w:ascii="Times New Roman" w:hAnsi="Times New Roman" w:eastAsia="楷体_GB2312" w:cs="楷体_GB2312"/>
          <w:bCs/>
          <w:color w:val="000000" w:themeColor="text1"/>
          <w:kern w:val="2"/>
          <w:sz w:val="32"/>
          <w:szCs w:val="24"/>
          <w:lang w:val="zh-CN" w:eastAsia="zh-CN" w:bidi="ar"/>
          <w14:textFill>
            <w14:solidFill>
              <w14:schemeClr w14:val="tx1"/>
            </w14:solidFill>
          </w14:textFill>
        </w:rPr>
        <w:t>资金使用。</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该项目严格按照资金支付规定和合同的履约标准进行支付，202</w:t>
      </w:r>
      <w:r>
        <w:rPr>
          <w:rFonts w:hint="eastAsia" w:ascii="Times New Roman" w:hAnsi="Times New Roman" w:eastAsia="仿宋" w:cs="仿宋"/>
          <w:b w:val="0"/>
          <w:bCs w:val="0"/>
          <w:color w:val="000000" w:themeColor="text1"/>
          <w:kern w:val="2"/>
          <w:sz w:val="32"/>
          <w:szCs w:val="24"/>
          <w:lang w:val="en-US" w:eastAsia="zh-CN" w:bidi="ar"/>
          <w14:textFill>
            <w14:solidFill>
              <w14:schemeClr w14:val="tx1"/>
            </w14:solidFill>
          </w14:textFill>
        </w:rPr>
        <w:t>5</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年，</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中共自贡市委员会</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党校迁建项目</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共计支出</w:t>
      </w:r>
      <w:r>
        <w:rPr>
          <w:rFonts w:hint="eastAsia" w:ascii="Times New Roman" w:hAnsi="Times New Roman" w:eastAsia="仿宋" w:cs="仿宋"/>
          <w:b w:val="0"/>
          <w:bCs w:val="0"/>
          <w:color w:val="000000" w:themeColor="text1"/>
          <w:kern w:val="2"/>
          <w:sz w:val="32"/>
          <w:szCs w:val="24"/>
          <w:lang w:val="en-US" w:eastAsia="zh-CN" w:bidi="ar"/>
          <w14:textFill>
            <w14:solidFill>
              <w14:schemeClr w14:val="tx1"/>
            </w14:solidFill>
          </w14:textFill>
        </w:rPr>
        <w:t>902万元</w:t>
      </w:r>
      <w:r>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t>，支付依据合规合法，与预算相符。</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eastAsia="zh-CN" w:bidi="ar"/>
          <w14:textFill>
            <w14:solidFill>
              <w14:schemeClr w14:val="tx1"/>
            </w14:solidFill>
          </w14:textFill>
        </w:rPr>
        <w:t>（二）项目财务管理情况。</w:t>
      </w:r>
      <w:r>
        <w:rPr>
          <w:rFonts w:hint="eastAsia" w:ascii="Times New Roman" w:hAnsi="Times New Roman" w:eastAsia="仿宋" w:cs="仿宋"/>
          <w:b w:val="0"/>
          <w:bCs w:val="0"/>
          <w:color w:val="000000" w:themeColor="text1"/>
          <w:lang w:val="zh-CN" w:bidi="ar"/>
          <w14:textFill>
            <w14:solidFill>
              <w14:schemeClr w14:val="tx1"/>
            </w14:solidFill>
          </w14:textFill>
        </w:rPr>
        <w:t>该项目严格执行我校</w:t>
      </w:r>
      <w:r>
        <w:rPr>
          <w:rFonts w:hint="eastAsia" w:eastAsia="仿宋" w:cs="仿宋"/>
          <w:b w:val="0"/>
          <w:bCs w:val="0"/>
          <w:color w:val="000000" w:themeColor="text1"/>
          <w:lang w:val="en-US" w:eastAsia="zh-CN" w:bidi="ar"/>
          <w14:textFill>
            <w14:solidFill>
              <w14:schemeClr w14:val="tx1"/>
            </w14:solidFill>
          </w14:textFill>
        </w:rPr>
        <w:t>各项</w:t>
      </w:r>
      <w:r>
        <w:rPr>
          <w:rFonts w:hint="eastAsia" w:ascii="Times New Roman" w:hAnsi="Times New Roman" w:eastAsia="仿宋" w:cs="仿宋"/>
          <w:b w:val="0"/>
          <w:bCs w:val="0"/>
          <w:color w:val="000000" w:themeColor="text1"/>
          <w:lang w:val="zh-CN" w:bidi="ar"/>
          <w14:textFill>
            <w14:solidFill>
              <w14:schemeClr w14:val="tx1"/>
            </w14:solidFill>
          </w14:textFill>
        </w:rPr>
        <w:t>制度规范，全年未出现重大工作失误和安全问题。资金支付环节，始终认真对照项目资金管理办法，专款专用，严格执行财务管理制度，处理及时，会计核算标准。</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（三）项目组织实施情况。</w:t>
      </w:r>
      <w:r>
        <w:rPr>
          <w:rFonts w:hint="eastAsia" w:ascii="Times New Roman" w:hAnsi="Times New Roman" w:eastAsia="仿宋" w:cs="仿宋"/>
          <w:b w:val="0"/>
          <w:bCs w:val="0"/>
          <w:color w:val="000000" w:themeColor="text1"/>
          <w:lang w:val="zh-CN" w:bidi="ar"/>
          <w14:textFill>
            <w14:solidFill>
              <w14:schemeClr w14:val="tx1"/>
            </w14:solidFill>
          </w14:textFill>
        </w:rPr>
        <w:t>该项目由财务科负责资金申报，</w:t>
      </w:r>
      <w:r>
        <w:rPr>
          <w:rFonts w:hint="eastAsia" w:ascii="Times New Roman" w:hAnsi="Times New Roman" w:eastAsia="仿宋" w:cs="仿宋"/>
          <w:b w:val="0"/>
          <w:bCs w:val="0"/>
          <w:color w:val="000000" w:themeColor="text1"/>
          <w:lang w:val="en-US" w:eastAsia="zh-CN" w:bidi="ar"/>
          <w14:textFill>
            <w14:solidFill>
              <w14:schemeClr w14:val="tx1"/>
            </w14:solidFill>
          </w14:textFill>
        </w:rPr>
        <w:t>后勤科</w:t>
      </w:r>
      <w:r>
        <w:rPr>
          <w:rFonts w:hint="eastAsia" w:eastAsia="仿宋" w:cs="仿宋"/>
          <w:b w:val="0"/>
          <w:bCs w:val="0"/>
          <w:color w:val="000000" w:themeColor="text1"/>
          <w:lang w:val="en-US" w:eastAsia="zh-CN" w:bidi="ar"/>
          <w14:textFill>
            <w14:solidFill>
              <w14:schemeClr w14:val="tx1"/>
            </w14:solidFill>
          </w14:textFill>
        </w:rPr>
        <w:t>收集工程款报账佐证资料</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val="zh-CN"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三、项目绩效情况</w:t>
      </w:r>
      <w:r>
        <w:rPr>
          <w:rFonts w:hint="eastAsia" w:ascii="Times New Roman" w:hAnsi="Times New Roman" w:eastAsia="黑体" w:cs="黑体"/>
          <w:b w:val="0"/>
          <w:bCs w:val="0"/>
          <w:color w:val="000000" w:themeColor="text1"/>
          <w:lang w:val="zh-CN" w:bidi="ar"/>
          <w14:textFill>
            <w14:solidFill>
              <w14:schemeClr w14:val="tx1"/>
            </w14:solidFill>
          </w14:textFill>
        </w:rPr>
        <w:tab/>
      </w:r>
    </w:p>
    <w:p>
      <w:pPr>
        <w:adjustRightInd w:val="0"/>
        <w:snapToGrid w:val="0"/>
        <w:spacing w:line="592" w:lineRule="exact"/>
        <w:ind w:firstLine="720"/>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（一）项目完成情况。</w:t>
      </w:r>
      <w:r>
        <w:rPr>
          <w:rFonts w:hint="eastAsia" w:ascii="Times New Roman" w:hAnsi="Times New Roman" w:eastAsia="仿宋" w:cs="仿宋"/>
          <w:b w:val="0"/>
          <w:bCs w:val="0"/>
          <w:color w:val="000000" w:themeColor="text1"/>
          <w:lang w:val="zh-CN" w:bidi="ar"/>
          <w14:textFill>
            <w14:solidFill>
              <w14:schemeClr w14:val="tx1"/>
            </w14:solidFill>
          </w14:textFill>
        </w:rPr>
        <w:t>项目所有绩效指标已完成。完成新校区</w:t>
      </w:r>
      <w:r>
        <w:rPr>
          <w:rFonts w:hint="eastAsia" w:ascii="Times New Roman" w:hAnsi="Times New Roman" w:eastAsia="仿宋" w:cs="仿宋"/>
          <w:b w:val="0"/>
          <w:bCs w:val="0"/>
          <w:color w:val="000000" w:themeColor="text1"/>
          <w:lang w:val="en-US" w:eastAsia="zh-CN" w:bidi="ar"/>
          <w14:textFill>
            <w14:solidFill>
              <w14:schemeClr w14:val="tx1"/>
            </w14:solidFill>
          </w14:textFill>
        </w:rPr>
        <w:t>1-4号楼修建面积15868平方米，工程验收合格率100%，完成竣工财务决算</w:t>
      </w:r>
      <w:r>
        <w:rPr>
          <w:rFonts w:hint="eastAsia" w:ascii="Times New Roman" w:hAnsi="Times New Roman" w:eastAsia="仿宋" w:cs="仿宋"/>
          <w:color w:val="000000" w:themeColor="text1"/>
          <w:lang w:val="en-US" w:eastAsia="zh-CN" w:bidi="ar"/>
          <w14:textFill>
            <w14:solidFill>
              <w14:schemeClr w14:val="tx1"/>
            </w14:solidFill>
          </w14:textFill>
        </w:rPr>
        <w:t>，</w:t>
      </w:r>
      <w:r>
        <w:rPr>
          <w:rFonts w:hint="eastAsia" w:ascii="Times New Roman" w:hAnsi="Times New Roman" w:cs="仿宋_GB2312"/>
          <w:color w:val="000000" w:themeColor="text1"/>
          <w:lang w:bidi="ar"/>
          <w14:textFill>
            <w14:solidFill>
              <w14:schemeClr w14:val="tx1"/>
            </w14:solidFill>
          </w14:textFill>
        </w:rPr>
        <w:t>确保了学校正常、高效运转</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eastAsia="仿宋" w:cs="仿宋"/>
          <w:color w:val="000000" w:themeColor="text1"/>
          <w:lang w:val="en-US" w:eastAsia="zh-CN" w:bidi="ar"/>
          <w14:textFill>
            <w14:solidFill>
              <w14:schemeClr w14:val="tx1"/>
            </w14:solidFill>
          </w14:textFill>
        </w:rPr>
        <w:t>促进了党校干部培训事业发展。</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（二）项目效益情况。</w:t>
      </w:r>
      <w:r>
        <w:rPr>
          <w:rFonts w:hint="eastAsia" w:ascii="Times New Roman" w:hAnsi="Times New Roman" w:eastAsia="仿宋" w:cs="仿宋"/>
          <w:b w:val="0"/>
          <w:bCs w:val="0"/>
          <w:color w:val="000000" w:themeColor="text1"/>
          <w:lang w:val="zh-CN" w:bidi="ar"/>
          <w14:textFill>
            <w14:solidFill>
              <w14:schemeClr w14:val="tx1"/>
            </w14:solidFill>
          </w14:textFill>
        </w:rPr>
        <w:t>各类设施设备使用率高，均能正常运行，能满足培训主阵地需求，未出现教职工投诉现象，满意度较高。</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四、问题及建议</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eastAsia="仿宋" w:cs="仿宋"/>
          <w:b w:val="0"/>
          <w:bCs w:val="0"/>
          <w:color w:val="000000" w:themeColor="text1"/>
          <w:lang w:val="en-US"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（一）存在的问题。</w:t>
      </w:r>
      <w:r>
        <w:rPr>
          <w:rFonts w:hint="eastAsia" w:eastAsia="仿宋" w:cs="仿宋"/>
          <w:b w:val="0"/>
          <w:bCs w:val="0"/>
          <w:color w:val="000000" w:themeColor="text1"/>
          <w:lang w:val="en-US" w:eastAsia="zh-CN" w:bidi="ar"/>
          <w14:textFill>
            <w14:solidFill>
              <w14:schemeClr w14:val="tx1"/>
            </w14:solidFill>
          </w14:textFill>
        </w:rPr>
        <w:t>无。</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楷体_GB2312" w:cs="仿宋"/>
          <w:b w:val="0"/>
          <w:bCs w:val="0"/>
          <w:color w:val="000000" w:themeColor="text1"/>
          <w:lang w:val="zh-CN"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（二）相关建议。</w:t>
      </w:r>
      <w:r>
        <w:rPr>
          <w:rFonts w:hint="eastAsia" w:eastAsia="仿宋" w:cs="仿宋"/>
          <w:b w:val="0"/>
          <w:bCs w:val="0"/>
          <w:color w:val="000000" w:themeColor="text1"/>
          <w:lang w:val="en-US" w:eastAsia="zh-CN" w:bidi="ar"/>
          <w14:textFill>
            <w14:solidFill>
              <w14:schemeClr w14:val="tx1"/>
            </w14:solidFill>
          </w14:textFill>
        </w:rPr>
        <w:t>无。</w:t>
      </w: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ind w:left="0" w:leftChars="0" w:firstLine="0" w:firstLineChars="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60" w:name="OLE_LINK1"/>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keepNext w:val="0"/>
        <w:keepLines w:val="0"/>
        <w:pageBreakBefore w:val="0"/>
        <w:kinsoku/>
        <w:wordWrap/>
        <w:overflowPunct/>
        <w:topLinePunct w:val="0"/>
        <w:autoSpaceDE/>
        <w:autoSpaceDN/>
        <w:bidi w:val="0"/>
        <w:spacing w:line="540" w:lineRule="exact"/>
        <w:jc w:val="center"/>
        <w:textAlignment w:val="auto"/>
        <w:rPr>
          <w:rFonts w:ascii="Times New Roman" w:hAnsi="Times New Roman" w:eastAsia="仿宋_GB2312" w:cs="仿宋_GB2312"/>
          <w:color w:val="000000" w:themeColor="text1"/>
          <w:sz w:val="32"/>
          <w:szCs w:val="24"/>
          <w:lang w:bidi="ar"/>
          <w14:textFill>
            <w14:solidFill>
              <w14:schemeClr w14:val="tx1"/>
            </w14:solidFill>
          </w14:textFill>
        </w:rPr>
      </w:pPr>
      <w:r>
        <w:rPr>
          <w:rFonts w:hint="eastAsia" w:ascii="Times New Roman" w:hAnsi="Times New Roman" w:eastAsia="仿宋_GB2312" w:cs="仿宋_GB2312"/>
          <w:color w:val="000000" w:themeColor="text1"/>
          <w:sz w:val="32"/>
          <w:szCs w:val="24"/>
          <w:lang w:bidi="ar"/>
          <w14:textFill>
            <w14:solidFill>
              <w14:schemeClr w14:val="tx1"/>
            </w14:solidFill>
          </w14:textFill>
        </w:rPr>
        <w:t>（</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市委党校</w:t>
      </w:r>
      <w:r>
        <w:rPr>
          <w:rFonts w:hint="eastAsia" w:ascii="Times New Roman" w:hAnsi="Times New Roman" w:cs="仿宋_GB2312"/>
          <w:color w:val="000000" w:themeColor="text1"/>
          <w:sz w:val="32"/>
          <w:szCs w:val="24"/>
          <w:lang w:eastAsia="zh-CN" w:bidi="ar"/>
          <w14:textFill>
            <w14:solidFill>
              <w14:schemeClr w14:val="tx1"/>
            </w14:solidFill>
          </w14:textFill>
        </w:rPr>
        <w:t>教学</w:t>
      </w:r>
      <w:r>
        <w:rPr>
          <w:rFonts w:hint="eastAsia" w:ascii="Times New Roman" w:hAnsi="Times New Roman" w:eastAsia="仿宋_GB2312" w:cs="仿宋_GB2312"/>
          <w:color w:val="000000" w:themeColor="text1"/>
          <w:sz w:val="32"/>
          <w:szCs w:val="24"/>
          <w:lang w:bidi="ar"/>
          <w14:textFill>
            <w14:solidFill>
              <w14:schemeClr w14:val="tx1"/>
            </w14:solidFill>
          </w14:textFill>
        </w:rPr>
        <w:t>科研</w:t>
      </w:r>
      <w:r>
        <w:rPr>
          <w:rFonts w:hint="eastAsia" w:ascii="Times New Roman" w:hAnsi="Times New Roman" w:cs="仿宋_GB2312"/>
          <w:color w:val="000000" w:themeColor="text1"/>
          <w:sz w:val="32"/>
          <w:szCs w:val="24"/>
          <w:lang w:eastAsia="zh-CN" w:bidi="ar"/>
          <w14:textFill>
            <w14:solidFill>
              <w14:schemeClr w14:val="tx1"/>
            </w14:solidFill>
          </w14:textFill>
        </w:rPr>
        <w:t>培训</w:t>
      </w:r>
      <w:r>
        <w:rPr>
          <w:rFonts w:hint="eastAsia" w:ascii="Times New Roman" w:hAnsi="Times New Roman" w:eastAsia="仿宋_GB2312" w:cs="仿宋_GB2312"/>
          <w:color w:val="000000" w:themeColor="text1"/>
          <w:sz w:val="32"/>
          <w:szCs w:val="24"/>
          <w:lang w:bidi="ar"/>
          <w14:textFill>
            <w14:solidFill>
              <w14:schemeClr w14:val="tx1"/>
            </w14:solidFill>
          </w14:textFill>
        </w:rPr>
        <w:t>经费</w:t>
      </w:r>
      <w:r>
        <w:rPr>
          <w:rFonts w:hint="eastAsia" w:ascii="Times New Roman" w:hAnsi="Times New Roman" w:cs="仿宋_GB2312"/>
          <w:color w:val="000000" w:themeColor="text1"/>
          <w:sz w:val="32"/>
          <w:szCs w:val="24"/>
          <w:lang w:eastAsia="zh-CN" w:bidi="ar"/>
          <w14:textFill>
            <w14:solidFill>
              <w14:schemeClr w14:val="tx1"/>
            </w14:solidFill>
          </w14:textFill>
        </w:rPr>
        <w:t>项目</w:t>
      </w:r>
      <w:r>
        <w:rPr>
          <w:rFonts w:hint="eastAsia" w:ascii="Times New Roman" w:hAnsi="Times New Roman" w:eastAsia="仿宋_GB2312" w:cs="仿宋_GB2312"/>
          <w:color w:val="000000" w:themeColor="text1"/>
          <w:sz w:val="32"/>
          <w:szCs w:val="24"/>
          <w:lang w:bidi="ar"/>
          <w14:textFill>
            <w14:solidFill>
              <w14:schemeClr w14:val="tx1"/>
            </w14:solidFill>
          </w14:textFill>
        </w:rPr>
        <w:t>）</w:t>
      </w:r>
    </w:p>
    <w:p>
      <w:pPr>
        <w:keepNext w:val="0"/>
        <w:keepLines w:val="0"/>
        <w:pageBreakBefore w:val="0"/>
        <w:kinsoku/>
        <w:wordWrap/>
        <w:overflowPunct/>
        <w:topLinePunct w:val="0"/>
        <w:autoSpaceDE/>
        <w:autoSpaceDN/>
        <w:bidi w:val="0"/>
        <w:spacing w:line="540" w:lineRule="exact"/>
        <w:jc w:val="left"/>
        <w:textAlignment w:val="auto"/>
        <w:rPr>
          <w:rFonts w:hint="eastAsia" w:ascii="Times New Roman" w:hAnsi="Times New Roman" w:eastAsia="仿宋_GB2312" w:cs="Times New Roman"/>
          <w:color w:val="000000" w:themeColor="text1"/>
          <w:sz w:val="32"/>
          <w:szCs w:val="24"/>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黑体" w:cs="Times New Roman"/>
          <w:color w:val="000000" w:themeColor="text1"/>
          <w:sz w:val="32"/>
          <w:szCs w:val="24"/>
          <w:lang w:val="zh-CN"/>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一、</w:t>
      </w:r>
      <w:r>
        <w:rPr>
          <w:rFonts w:hint="eastAsia" w:ascii="Times New Roman" w:hAnsi="Times New Roman" w:eastAsia="黑体" w:cs="黑体"/>
          <w:color w:val="000000" w:themeColor="text1"/>
          <w:sz w:val="32"/>
          <w:szCs w:val="24"/>
          <w:lang w:val="zh-CN" w:bidi="ar"/>
          <w14:textFill>
            <w14:solidFill>
              <w14:schemeClr w14:val="tx1"/>
            </w14:solidFill>
          </w14:textFill>
        </w:rPr>
        <w:t>项目概况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color w:val="000000" w:themeColor="text1"/>
          <w:sz w:val="32"/>
          <w:szCs w:val="24"/>
          <w:lang w:val="en-US" w:eastAsia="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（一）项目资金申报及批复情况。</w:t>
      </w:r>
      <w:r>
        <w:rPr>
          <w:rFonts w:hint="eastAsia" w:ascii="Times New Roman" w:hAnsi="Times New Roman" w:eastAsia="仿宋" w:cs="仿宋"/>
          <w:color w:val="000000" w:themeColor="text1"/>
          <w:sz w:val="32"/>
          <w:szCs w:val="24"/>
          <w:lang w:val="zh-CN" w:bidi="ar"/>
          <w14:textFill>
            <w14:solidFill>
              <w14:schemeClr w14:val="tx1"/>
            </w14:solidFill>
          </w14:textFill>
        </w:rPr>
        <w:t>该项目资金年初预算即申报数为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22</w:t>
      </w:r>
      <w:r>
        <w:rPr>
          <w:rFonts w:hint="eastAsia" w:ascii="Times New Roman" w:hAnsi="Times New Roman" w:eastAsia="仿宋" w:cs="仿宋"/>
          <w:color w:val="000000" w:themeColor="text1"/>
          <w:sz w:val="32"/>
          <w:szCs w:val="24"/>
          <w:lang w:val="zh-CN" w:bidi="ar"/>
          <w14:textFill>
            <w14:solidFill>
              <w14:schemeClr w14:val="tx1"/>
            </w14:solidFill>
          </w14:textFill>
        </w:rPr>
        <w:t>万元，全部为一般公共预算财政拨款资金。全年调整预算数为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万元，实际执行数为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万元，调整原因为单位内部调剂部分经费到其他项目使用。符合资金管理办法等相关规定。</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hint="default" w:ascii="Times New Roman" w:hAnsi="Times New Roman" w:eastAsia="仿宋_GB2312" w:cs="仿宋_GB2312"/>
          <w:color w:val="000000" w:themeColor="text1"/>
          <w:sz w:val="32"/>
          <w:szCs w:val="24"/>
          <w:lang w:val="en-US" w:eastAsia="zh-CN" w:bidi="ar"/>
          <w14:textFill>
            <w14:solidFill>
              <w14:schemeClr w14:val="tx1"/>
            </w14:solidFill>
          </w14:textFill>
        </w:rPr>
      </w:pPr>
      <w:r>
        <w:rPr>
          <w:rFonts w:hint="eastAsia" w:ascii="Times New Roman" w:hAnsi="Times New Roman" w:eastAsia="楷体_GB2312" w:cs="楷体_GB2312"/>
          <w:bCs/>
          <w:color w:val="000000" w:themeColor="text1"/>
          <w:sz w:val="32"/>
          <w:szCs w:val="24"/>
          <w:highlight w:val="none"/>
          <w:lang w:val="zh-CN" w:bidi="ar"/>
          <w14:textFill>
            <w14:solidFill>
              <w14:schemeClr w14:val="tx1"/>
            </w14:solidFill>
          </w14:textFill>
        </w:rPr>
        <w:t>（二）项目绩效目标。</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本年度</w:t>
      </w:r>
      <w:r>
        <w:rPr>
          <w:rFonts w:hint="eastAsia" w:ascii="Times New Roman" w:hAnsi="Times New Roman" w:cs="仿宋_GB2312"/>
          <w:color w:val="000000" w:themeColor="text1"/>
          <w:sz w:val="32"/>
          <w:szCs w:val="24"/>
          <w:lang w:val="zh-CN" w:bidi="ar"/>
          <w14:textFill>
            <w14:solidFill>
              <w14:schemeClr w14:val="tx1"/>
            </w14:solidFill>
          </w14:textFill>
        </w:rPr>
        <w:t>计划完成</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培训科研工作管理人员及教师</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40</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人，出刊《盐都论坛》4期，开展对外学术交流单位</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4</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0个，营造良好学术氛围，促进科研工作高质量发展。学员宿舍陈列图书</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1800册以上，进一步提升图书服务水平</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仿宋_GB2312" w:cs="Times New Roman"/>
          <w:color w:val="000000" w:themeColor="text1"/>
          <w:sz w:val="32"/>
          <w:szCs w:val="24"/>
          <w:lang w:val="zh-CN"/>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（三）项目资金申报相符性。</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我校紧紧围绕</w:t>
      </w:r>
      <w:r>
        <w:rPr>
          <w:rFonts w:hint="eastAsia" w:ascii="Times New Roman" w:hAnsi="Times New Roman" w:cs="仿宋_GB2312"/>
          <w:color w:val="000000" w:themeColor="text1"/>
          <w:sz w:val="32"/>
          <w:szCs w:val="24"/>
          <w:lang w:val="zh-CN" w:bidi="ar"/>
          <w14:textFill>
            <w14:solidFill>
              <w14:schemeClr w14:val="tx1"/>
            </w14:solidFill>
          </w14:textFill>
        </w:rPr>
        <w:t>教学</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科研专项工作主要目标开展工作，</w:t>
      </w:r>
      <w:r>
        <w:rPr>
          <w:rFonts w:hint="eastAsia" w:ascii="Times New Roman" w:hAnsi="Times New Roman" w:eastAsia="仿宋_GB2312" w:cs="仿宋_GB2312"/>
          <w:color w:val="000000" w:themeColor="text1"/>
          <w:sz w:val="32"/>
          <w:szCs w:val="24"/>
          <w:lang w:val="zh-CN" w:eastAsia="zh-CN" w:bidi="ar"/>
          <w14:textFill>
            <w14:solidFill>
              <w14:schemeClr w14:val="tx1"/>
            </w14:solidFill>
          </w14:textFill>
        </w:rPr>
        <w:t>从</w:t>
      </w:r>
      <w:r>
        <w:rPr>
          <w:rFonts w:hint="eastAsia" w:ascii="Times New Roman" w:hAnsi="Times New Roman" w:cs="仿宋_GB2312"/>
          <w:color w:val="000000" w:themeColor="text1"/>
          <w:sz w:val="32"/>
          <w:szCs w:val="24"/>
          <w:lang w:val="zh-CN" w:eastAsia="zh-CN" w:bidi="ar"/>
          <w14:textFill>
            <w14:solidFill>
              <w14:schemeClr w14:val="tx1"/>
            </w14:solidFill>
          </w14:textFill>
        </w:rPr>
        <w:t>科研工作培训、学员宿舍图书服务、促进对外学术交流</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等方面申报经费，申报金额与预算金额基本一致。</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黑体" w:cs="Times New Roman"/>
          <w:color w:val="000000" w:themeColor="text1"/>
          <w:sz w:val="32"/>
          <w:szCs w:val="24"/>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二、项目实施及管理情况</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楷体_GB2312" w:cs="Times New Roman"/>
          <w:color w:val="000000" w:themeColor="text1"/>
          <w:sz w:val="32"/>
          <w:szCs w:val="24"/>
          <w:lang w:val="zh-CN"/>
          <w14:textFill>
            <w14:solidFill>
              <w14:schemeClr w14:val="tx1"/>
            </w14:solidFill>
          </w14:textFill>
        </w:rPr>
      </w:pPr>
      <w:r>
        <w:rPr>
          <w:rFonts w:hint="eastAsia" w:ascii="Times New Roman" w:hAnsi="Times New Roman" w:eastAsia="楷体_GB2312" w:cs="楷体_GB2312"/>
          <w:color w:val="000000" w:themeColor="text1"/>
          <w:sz w:val="32"/>
          <w:szCs w:val="24"/>
          <w:lang w:val="zh-CN" w:bidi="ar"/>
          <w14:textFill>
            <w14:solidFill>
              <w14:schemeClr w14:val="tx1"/>
            </w14:solidFill>
          </w14:textFill>
        </w:rPr>
        <w:t>（一）资金计划、到位及使用情况。</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Times New Roman"/>
          <w:color w:val="000000" w:themeColor="text1"/>
          <w:sz w:val="32"/>
          <w:szCs w:val="24"/>
          <w:lang w:val="zh-CN"/>
          <w14:textFill>
            <w14:solidFill>
              <w14:schemeClr w14:val="tx1"/>
            </w14:solidFill>
          </w14:textFill>
        </w:rPr>
      </w:pPr>
      <w:r>
        <w:rPr>
          <w:rFonts w:ascii="Times New Roman" w:hAnsi="Times New Roman" w:eastAsia="楷体_GB2312" w:cs="Times New Roman"/>
          <w:color w:val="000000" w:themeColor="text1"/>
          <w:sz w:val="32"/>
          <w:szCs w:val="24"/>
          <w:lang w:val="zh-CN" w:bidi="ar"/>
          <w14:textFill>
            <w14:solidFill>
              <w14:schemeClr w14:val="tx1"/>
            </w14:solidFill>
          </w14:textFill>
        </w:rPr>
        <w:t>1</w:t>
      </w:r>
      <w:r>
        <w:rPr>
          <w:rFonts w:hint="eastAsia" w:ascii="Times New Roman" w:hAnsi="Times New Roman" w:eastAsia="楷体_GB2312" w:cs="楷体_GB2312"/>
          <w:color w:val="000000" w:themeColor="text1"/>
          <w:sz w:val="32"/>
          <w:szCs w:val="24"/>
          <w:lang w:val="zh-CN" w:bidi="ar"/>
          <w14:textFill>
            <w14:solidFill>
              <w14:schemeClr w14:val="tx1"/>
            </w14:solidFill>
          </w14:textFill>
        </w:rPr>
        <w:t>．资金计划及到位。</w:t>
      </w:r>
      <w:r>
        <w:rPr>
          <w:rFonts w:hint="eastAsia" w:ascii="Times New Roman" w:hAnsi="Times New Roman" w:eastAsia="仿宋" w:cs="仿宋"/>
          <w:color w:val="000000" w:themeColor="text1"/>
          <w:sz w:val="32"/>
          <w:szCs w:val="24"/>
          <w:lang w:val="zh-CN" w:bidi="ar"/>
          <w14:textFill>
            <w14:solidFill>
              <w14:schemeClr w14:val="tx1"/>
            </w14:solidFill>
          </w14:textFill>
        </w:rPr>
        <w:t>该项目资金年初预算即申报数为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22</w:t>
      </w:r>
      <w:r>
        <w:rPr>
          <w:rFonts w:hint="eastAsia" w:ascii="Times New Roman" w:hAnsi="Times New Roman" w:eastAsia="仿宋" w:cs="仿宋"/>
          <w:color w:val="000000" w:themeColor="text1"/>
          <w:sz w:val="32"/>
          <w:szCs w:val="24"/>
          <w:lang w:val="zh-CN" w:bidi="ar"/>
          <w14:textFill>
            <w14:solidFill>
              <w14:schemeClr w14:val="tx1"/>
            </w14:solidFill>
          </w14:textFill>
        </w:rPr>
        <w:t>万元，全部为一般公共预算财政拨款资金。全年调整预算数为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万元，实际执行数为</w:t>
      </w:r>
      <w:r>
        <w:rPr>
          <w:rFonts w:hint="eastAsia" w:ascii="Times New Roman" w:hAnsi="Times New Roman" w:eastAsia="仿宋" w:cs="仿宋"/>
          <w:color w:val="000000" w:themeColor="text1"/>
          <w:sz w:val="32"/>
          <w:szCs w:val="24"/>
          <w:lang w:val="en-US" w:eastAsia="zh-CN" w:bidi="ar"/>
          <w14:textFill>
            <w14:solidFill>
              <w14:schemeClr w14:val="tx1"/>
            </w14:solidFill>
          </w14:textFill>
        </w:rPr>
        <w:t>16.76</w:t>
      </w:r>
      <w:r>
        <w:rPr>
          <w:rFonts w:hint="eastAsia" w:ascii="Times New Roman" w:hAnsi="Times New Roman" w:eastAsia="仿宋" w:cs="仿宋"/>
          <w:color w:val="000000" w:themeColor="text1"/>
          <w:sz w:val="32"/>
          <w:szCs w:val="24"/>
          <w:lang w:val="zh-CN" w:bidi="ar"/>
          <w14:textFill>
            <w14:solidFill>
              <w14:schemeClr w14:val="tx1"/>
            </w14:solidFill>
          </w14:textFill>
        </w:rPr>
        <w:t>万元，资金</w:t>
      </w:r>
      <w:r>
        <w:rPr>
          <w:rFonts w:ascii="Times New Roman" w:hAnsi="Times New Roman" w:eastAsia="仿宋" w:cs="仿宋"/>
          <w:color w:val="000000" w:themeColor="text1"/>
          <w:sz w:val="32"/>
          <w:szCs w:val="24"/>
          <w:lang w:val="zh-CN" w:bidi="ar"/>
          <w14:textFill>
            <w14:solidFill>
              <w14:schemeClr w14:val="tx1"/>
            </w14:solidFill>
          </w14:textFill>
        </w:rPr>
        <w:t>到位及时。</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仿宋_GB2312" w:cs="仿宋_GB2312"/>
          <w:color w:val="000000" w:themeColor="text1"/>
          <w:sz w:val="32"/>
          <w:szCs w:val="24"/>
          <w:lang w:val="zh-CN" w:bidi="ar"/>
          <w14:textFill>
            <w14:solidFill>
              <w14:schemeClr w14:val="tx1"/>
            </w14:solidFill>
          </w14:textFill>
        </w:rPr>
      </w:pPr>
      <w:r>
        <w:rPr>
          <w:rFonts w:ascii="Times New Roman" w:hAnsi="Times New Roman" w:eastAsia="楷体_GB2312" w:cs="Times New Roman"/>
          <w:color w:val="000000" w:themeColor="text1"/>
          <w:sz w:val="32"/>
          <w:szCs w:val="24"/>
          <w:lang w:val="zh-CN" w:bidi="ar"/>
          <w14:textFill>
            <w14:solidFill>
              <w14:schemeClr w14:val="tx1"/>
            </w14:solidFill>
          </w14:textFill>
        </w:rPr>
        <w:t>2</w:t>
      </w:r>
      <w:r>
        <w:rPr>
          <w:rFonts w:hint="eastAsia" w:ascii="Times New Roman" w:hAnsi="Times New Roman" w:eastAsia="楷体_GB2312" w:cs="楷体_GB2312"/>
          <w:color w:val="000000" w:themeColor="text1"/>
          <w:sz w:val="32"/>
          <w:szCs w:val="24"/>
          <w:lang w:val="zh-CN" w:bidi="ar"/>
          <w14:textFill>
            <w14:solidFill>
              <w14:schemeClr w14:val="tx1"/>
            </w14:solidFill>
          </w14:textFill>
        </w:rPr>
        <w:t>．资金使用。</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教学科研培训专项经费资金的实际支出严格按照资金开支范围、标准及进度支付，支付依据合规合法，资金支付与预算相符。</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仿宋_GB2312"/>
          <w:bCs/>
          <w:color w:val="000000" w:themeColor="text1"/>
          <w:sz w:val="32"/>
          <w:szCs w:val="24"/>
          <w:lang w:val="zh-CN" w:eastAsia="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（二）项目财务管理情况。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学校严格执行国家财经法律法规、地方财政资金管理规定及校内财务管理制度，对教学科研培训经费实行专项管理、专款专用，规范资金审批、支付、核算全流程，确保财务管控严谨规范，资金使用安全高效。</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ascii="Times New Roman" w:hAnsi="Times New Roman" w:eastAsia="仿宋_GB2312" w:cs="仿宋_GB2312"/>
          <w:color w:val="000000" w:themeColor="text1"/>
          <w:sz w:val="32"/>
          <w:szCs w:val="24"/>
          <w:lang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（三）项目组织实施情况。</w:t>
      </w:r>
      <w:r>
        <w:rPr>
          <w:rFonts w:hint="eastAsia" w:ascii="Times New Roman" w:hAnsi="Times New Roman" w:cs="仿宋_GB2312"/>
          <w:color w:val="000000" w:themeColor="text1"/>
          <w:sz w:val="32"/>
          <w:szCs w:val="24"/>
          <w:lang w:eastAsia="zh-CN" w:bidi="ar"/>
          <w14:textFill>
            <w14:solidFill>
              <w14:schemeClr w14:val="tx1"/>
            </w14:solidFill>
          </w14:textFill>
        </w:rPr>
        <w:t>严格按照</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《自贡市市级机关培训费管理</w:t>
      </w:r>
      <w:r>
        <w:rPr>
          <w:rFonts w:hint="eastAsia" w:ascii="Times New Roman" w:hAnsi="Times New Roman" w:cs="仿宋_GB2312"/>
          <w:color w:val="000000" w:themeColor="text1"/>
          <w:sz w:val="32"/>
          <w:szCs w:val="24"/>
          <w:lang w:val="zh-CN" w:bidi="ar"/>
          <w14:textFill>
            <w14:solidFill>
              <w14:schemeClr w14:val="tx1"/>
            </w14:solidFill>
          </w14:textFill>
        </w:rPr>
        <w:t>实施</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办法》</w:t>
      </w:r>
      <w:r>
        <w:rPr>
          <w:rFonts w:hint="eastAsia" w:cs="仿宋_GB2312"/>
          <w:color w:val="000000" w:themeColor="text1"/>
          <w:sz w:val="32"/>
          <w:szCs w:val="24"/>
          <w:lang w:val="zh-CN" w:eastAsia="zh-CN" w:bidi="ar"/>
          <w14:textFill>
            <w14:solidFill>
              <w14:schemeClr w14:val="tx1"/>
            </w14:solidFill>
          </w14:textFill>
        </w:rPr>
        <w:t>进行科研培训经费支出</w:t>
      </w:r>
      <w:r>
        <w:rPr>
          <w:rFonts w:hint="eastAsia" w:ascii="Times New Roman" w:hAnsi="Times New Roman" w:eastAsia="仿宋_GB2312" w:cs="仿宋_GB2312"/>
          <w:color w:val="000000" w:themeColor="text1"/>
          <w:sz w:val="32"/>
          <w:szCs w:val="24"/>
          <w:lang w:bidi="ar"/>
          <w14:textFill>
            <w14:solidFill>
              <w14:schemeClr w14:val="tx1"/>
            </w14:solidFill>
          </w14:textFill>
        </w:rPr>
        <w:t>，</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坚决做到厉行节约、规范有序。</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严格按照</w:t>
      </w:r>
      <w:r>
        <w:rPr>
          <w:rFonts w:hint="eastAsia" w:ascii="Times New Roman" w:hAnsi="Times New Roman" w:cs="仿宋_GB2312"/>
          <w:color w:val="000000" w:themeColor="text1"/>
          <w:sz w:val="32"/>
          <w:szCs w:val="24"/>
          <w:lang w:val="en-US" w:eastAsia="zh-CN" w:bidi="ar"/>
          <w14:textFill>
            <w14:solidFill>
              <w14:schemeClr w14:val="tx1"/>
            </w14:solidFill>
          </w14:textFill>
        </w:rPr>
        <w:t>学校规定，规范开展与新华文轩相关服务合同签订、支付相关费用</w:t>
      </w:r>
      <w:r>
        <w:rPr>
          <w:rFonts w:hint="eastAsia" w:ascii="Times New Roman" w:hAnsi="Times New Roman" w:eastAsia="仿宋_GB2312" w:cs="仿宋_GB2312"/>
          <w:color w:val="000000" w:themeColor="text1"/>
          <w:sz w:val="32"/>
          <w:szCs w:val="24"/>
          <w:lang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ascii="Times New Roman" w:hAnsi="Times New Roman" w:eastAsia="仿宋_GB2312" w:cs="Times New Roman"/>
          <w:color w:val="000000" w:themeColor="text1"/>
          <w:sz w:val="32"/>
          <w:szCs w:val="24"/>
          <w:lang w:val="zh-CN"/>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三、项目绩效情况</w:t>
      </w:r>
      <w:r>
        <w:rPr>
          <w:rFonts w:ascii="Times New Roman" w:hAnsi="Times New Roman" w:eastAsia="仿宋_GB2312" w:cs="Times New Roman"/>
          <w:color w:val="000000" w:themeColor="text1"/>
          <w:sz w:val="32"/>
          <w:szCs w:val="24"/>
          <w:lang w:val="zh-CN" w:bidi="ar"/>
          <w14:textFill>
            <w14:solidFill>
              <w14:schemeClr w14:val="tx1"/>
            </w14:solidFill>
          </w14:textFill>
        </w:rPr>
        <w:tab/>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楷体_GB2312" w:cs="楷体_GB2312"/>
          <w:bCs/>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（一）项目完成情况。</w:t>
      </w:r>
      <w:r>
        <w:rPr>
          <w:rFonts w:hint="eastAsia" w:ascii="Times New Roman" w:hAnsi="Times New Roman" w:eastAsia="仿宋_GB2312" w:cs="仿宋_GB2312"/>
          <w:color w:val="000000" w:themeColor="text1"/>
          <w:sz w:val="32"/>
          <w:szCs w:val="24"/>
          <w:lang w:bidi="ar"/>
          <w14:textFill>
            <w14:solidFill>
              <w14:schemeClr w14:val="tx1"/>
            </w14:solidFill>
          </w14:textFill>
        </w:rPr>
        <w:t>推进市委党校内涵式、科学化、高质量发展</w:t>
      </w:r>
      <w:r>
        <w:rPr>
          <w:rFonts w:hint="eastAsia" w:cs="仿宋_GB2312"/>
          <w:color w:val="000000" w:themeColor="text1"/>
          <w:sz w:val="32"/>
          <w:szCs w:val="24"/>
          <w:lang w:eastAsia="zh-CN" w:bidi="ar"/>
          <w14:textFill>
            <w14:solidFill>
              <w14:schemeClr w14:val="tx1"/>
            </w14:solidFill>
          </w14:textFill>
        </w:rPr>
        <w:t>，</w:t>
      </w:r>
      <w:r>
        <w:rPr>
          <w:rFonts w:hint="eastAsia" w:ascii="Times New Roman" w:hAnsi="Times New Roman" w:eastAsia="仿宋_GB2312" w:cs="仿宋_GB2312"/>
          <w:color w:val="000000" w:themeColor="text1"/>
          <w:sz w:val="32"/>
          <w:szCs w:val="24"/>
          <w:lang w:bidi="ar"/>
          <w14:textFill>
            <w14:solidFill>
              <w14:schemeClr w14:val="tx1"/>
            </w14:solidFill>
          </w14:textFill>
        </w:rPr>
        <w:t>本年度培训科研工作管理人员及教师63人，教师科研素质整体提升。《盐都论坛》出刊4期，被评为全市科协系统优秀学术二类期刊。开展对外学术交流单位50个，科研工作有序开展，学术氛围日渐浓厚。</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学员生活区创新设立“学思书架”96处，精选政治理论、领导著作类经典图书</w:t>
      </w:r>
      <w:r>
        <w:rPr>
          <w:rFonts w:hint="eastAsia" w:ascii="Times New Roman" w:hAnsi="Times New Roman" w:cs="仿宋_GB2312"/>
          <w:color w:val="000000" w:themeColor="text1"/>
          <w:sz w:val="32"/>
          <w:szCs w:val="24"/>
          <w:lang w:val="en-US" w:eastAsia="zh-CN" w:bidi="ar"/>
          <w14:textFill>
            <w14:solidFill>
              <w14:schemeClr w14:val="tx1"/>
            </w14:solidFill>
          </w14:textFill>
        </w:rPr>
        <w:t>20</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00册。</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ascii="Times New Roman" w:hAnsi="Times New Roman" w:eastAsia="楷体_GB2312" w:cs="楷体_GB2312"/>
          <w:bCs/>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（二）项目效益情况。</w:t>
      </w:r>
      <w:r>
        <w:rPr>
          <w:rFonts w:hint="eastAsia" w:ascii="Times New Roman" w:hAnsi="Times New Roman" w:eastAsia="仿宋_GB2312" w:cs="仿宋_GB2312"/>
          <w:color w:val="000000" w:themeColor="text1"/>
          <w:sz w:val="32"/>
          <w:szCs w:val="24"/>
          <w:lang w:bidi="ar"/>
          <w14:textFill>
            <w14:solidFill>
              <w14:schemeClr w14:val="tx1"/>
            </w14:solidFill>
          </w14:textFill>
        </w:rPr>
        <w:t>教师科研素质整体提升，科研能力显著增强。科研平台建设成效</w:t>
      </w:r>
      <w:r>
        <w:rPr>
          <w:rFonts w:hint="eastAsia" w:cs="仿宋_GB2312"/>
          <w:color w:val="000000" w:themeColor="text1"/>
          <w:sz w:val="32"/>
          <w:szCs w:val="24"/>
          <w:lang w:eastAsia="zh-CN" w:bidi="ar"/>
          <w14:textFill>
            <w14:solidFill>
              <w14:schemeClr w14:val="tx1"/>
            </w14:solidFill>
          </w14:textFill>
        </w:rPr>
        <w:t>明显</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w:t>
      </w:r>
      <w:r>
        <w:rPr>
          <w:rFonts w:hint="eastAsia" w:cs="仿宋_GB2312"/>
          <w:color w:val="000000" w:themeColor="text1"/>
          <w:sz w:val="32"/>
          <w:szCs w:val="24"/>
          <w:lang w:eastAsia="zh-CN" w:bidi="ar"/>
          <w14:textFill>
            <w14:solidFill>
              <w14:schemeClr w14:val="tx1"/>
            </w14:solidFill>
          </w14:textFill>
        </w:rPr>
        <w:t>内刊</w:t>
      </w:r>
      <w:r>
        <w:rPr>
          <w:rFonts w:hint="eastAsia" w:ascii="Times New Roman" w:hAnsi="Times New Roman" w:eastAsia="仿宋_GB2312" w:cs="仿宋_GB2312"/>
          <w:color w:val="000000" w:themeColor="text1"/>
          <w:sz w:val="32"/>
          <w:szCs w:val="24"/>
          <w:lang w:bidi="ar"/>
          <w14:textFill>
            <w14:solidFill>
              <w14:schemeClr w14:val="tx1"/>
            </w14:solidFill>
          </w14:textFill>
        </w:rPr>
        <w:t>学术影响力持续提升。</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在巩固传统图书服务基础上持续创新服务模式，与新华文轩合作构建“宿舍+教学楼”双空间阅读服务体系，初步形成门类齐全、精准服务的智慧阅读生态，</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进一步提高了图书服务水平。</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color w:val="000000" w:themeColor="text1"/>
          <w:sz w:val="32"/>
          <w:szCs w:val="24"/>
          <w:lang w:bidi="ar"/>
          <w14:textFill>
            <w14:solidFill>
              <w14:schemeClr w14:val="tx1"/>
            </w14:solidFill>
          </w14:textFill>
        </w:rPr>
      </w:pPr>
      <w:r>
        <w:rPr>
          <w:rFonts w:hint="eastAsia" w:ascii="Times New Roman" w:hAnsi="Times New Roman" w:eastAsia="黑体" w:cs="黑体"/>
          <w:color w:val="000000" w:themeColor="text1"/>
          <w:sz w:val="32"/>
          <w:szCs w:val="24"/>
          <w:lang w:bidi="ar"/>
          <w14:textFill>
            <w14:solidFill>
              <w14:schemeClr w14:val="tx1"/>
            </w14:solidFill>
          </w14:textFill>
        </w:rPr>
        <w:t>四、问题及建议</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楷体_GB2312" w:cs="楷体_GB2312"/>
          <w:bCs/>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（一）存在的问题。</w:t>
      </w:r>
      <w:r>
        <w:rPr>
          <w:rFonts w:hint="eastAsia" w:ascii="Times New Roman" w:hAnsi="Times New Roman" w:eastAsia="仿宋_GB2312" w:cs="Times New Roman"/>
          <w:color w:val="000000" w:themeColor="text1"/>
          <w:sz w:val="32"/>
          <w:szCs w:val="32"/>
          <w:lang w:val="zh-CN"/>
          <w14:textFill>
            <w14:solidFill>
              <w14:schemeClr w14:val="tx1"/>
            </w14:solidFill>
          </w14:textFill>
        </w:rPr>
        <w:t>无。</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color w:val="000000" w:themeColor="text1"/>
          <w:lang w:val="zh-CN"/>
          <w14:textFill>
            <w14:solidFill>
              <w14:schemeClr w14:val="tx1"/>
            </w14:solidFill>
          </w14:textFill>
        </w:rPr>
      </w:pPr>
      <w:r>
        <w:rPr>
          <w:rFonts w:hint="eastAsia" w:ascii="Times New Roman" w:hAnsi="Times New Roman" w:eastAsia="楷体_GB2312" w:cs="楷体_GB2312"/>
          <w:bCs/>
          <w:color w:val="000000" w:themeColor="text1"/>
          <w:sz w:val="32"/>
          <w:szCs w:val="24"/>
          <w:lang w:val="zh-CN" w:bidi="ar"/>
          <w14:textFill>
            <w14:solidFill>
              <w14:schemeClr w14:val="tx1"/>
            </w14:solidFill>
          </w14:textFill>
        </w:rPr>
        <w:t>（二）相关建议。</w:t>
      </w:r>
      <w:r>
        <w:rPr>
          <w:rFonts w:hint="eastAsia" w:ascii="Times New Roman" w:hAnsi="Times New Roman" w:cs="Times New Roman"/>
          <w:color w:val="000000" w:themeColor="text1"/>
          <w:sz w:val="32"/>
          <w:szCs w:val="32"/>
          <w:lang w:val="zh-CN"/>
          <w14:textFill>
            <w14:solidFill>
              <w14:schemeClr w14:val="tx1"/>
            </w14:solidFill>
          </w14:textFill>
        </w:rPr>
        <w:t>无。</w:t>
      </w:r>
    </w:p>
    <w:bookmarkEnd w:id="60"/>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w:t>
      </w:r>
      <w:r>
        <w:rPr>
          <w:rFonts w:hint="eastAsia" w:ascii="Times New Roman" w:hAnsi="Times New Roman" w:eastAsia="仿宋_GB2312" w:cs="仿宋_GB2312"/>
          <w:color w:val="000000" w:themeColor="text1"/>
          <w:kern w:val="2"/>
          <w:sz w:val="32"/>
          <w:szCs w:val="24"/>
          <w:lang w:eastAsia="zh-CN" w:bidi="ar"/>
          <w14:textFill>
            <w14:solidFill>
              <w14:schemeClr w14:val="tx1"/>
            </w14:solidFill>
          </w14:textFill>
        </w:rPr>
        <w:t>省级干部教育培训机构质量提升专项资金</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项目）</w:t>
      </w:r>
    </w:p>
    <w:p>
      <w:pPr>
        <w:pStyle w:val="28"/>
        <w:keepNext w:val="0"/>
        <w:keepLines w:val="0"/>
        <w:pageBreakBefore w:val="0"/>
        <w:kinsoku/>
        <w:wordWrap/>
        <w:overflowPunct/>
        <w:topLinePunct w:val="0"/>
        <w:autoSpaceDE/>
        <w:autoSpaceDN/>
        <w:bidi w:val="0"/>
        <w:spacing w:line="540" w:lineRule="exact"/>
        <w:ind w:firstLine="883"/>
        <w:jc w:val="left"/>
        <w:textAlignment w:val="auto"/>
        <w:rPr>
          <w:rFonts w:hint="eastAsia" w:ascii="Times New Roman" w:hAnsi="Times New Roman" w:eastAsia="仿宋_GB2312" w:cs="仿宋_GB2312"/>
          <w:color w:val="000000" w:themeColor="text1"/>
          <w:kern w:val="2"/>
          <w:sz w:val="32"/>
          <w:szCs w:val="24"/>
          <w:lang w:bidi="ar"/>
          <w14:textFill>
            <w14:solidFill>
              <w14:schemeClr w14:val="tx1"/>
            </w14:solidFill>
          </w14:textFill>
        </w:rPr>
      </w:pPr>
    </w:p>
    <w:p>
      <w:pPr>
        <w:keepNext w:val="0"/>
        <w:keepLines w:val="0"/>
        <w:pageBreakBefore w:val="0"/>
        <w:numPr>
          <w:ilvl w:val="0"/>
          <w:numId w:val="0"/>
        </w:numPr>
        <w:kinsoku/>
        <w:wordWrap/>
        <w:overflowPunct/>
        <w:topLinePunct w:val="0"/>
        <w:autoSpaceDE/>
        <w:autoSpaceDN/>
        <w:bidi w:val="0"/>
        <w:adjustRightInd w:val="0"/>
        <w:snapToGrid w:val="0"/>
        <w:spacing w:line="540" w:lineRule="exact"/>
        <w:ind w:left="626" w:leftChars="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eastAsia="zh-CN" w:bidi="ar"/>
          <w14:textFill>
            <w14:solidFill>
              <w14:schemeClr w14:val="tx1"/>
            </w14:solidFill>
          </w14:textFill>
        </w:rPr>
        <w:t>一、</w:t>
      </w:r>
      <w:r>
        <w:rPr>
          <w:rFonts w:hint="eastAsia" w:ascii="Times New Roman" w:hAnsi="Times New Roman" w:eastAsia="黑体" w:cs="黑体"/>
          <w:b w:val="0"/>
          <w:bCs w:val="0"/>
          <w:color w:val="000000" w:themeColor="text1"/>
          <w:lang w:bidi="ar"/>
          <w14:textFill>
            <w14:solidFill>
              <w14:schemeClr w14:val="tx1"/>
            </w14:solidFill>
          </w14:textFill>
        </w:rPr>
        <w:t>项目概况</w:t>
      </w:r>
    </w:p>
    <w:p>
      <w:pPr>
        <w:keepNext w:val="0"/>
        <w:keepLines w:val="0"/>
        <w:pageBreakBefore w:val="0"/>
        <w:widowControl/>
        <w:numPr>
          <w:ilvl w:val="0"/>
          <w:numId w:val="0"/>
        </w:numPr>
        <w:suppressLineNumbers w:val="0"/>
        <w:kinsoku/>
        <w:wordWrap/>
        <w:overflowPunct/>
        <w:topLinePunct w:val="0"/>
        <w:autoSpaceDE/>
        <w:autoSpaceDN/>
        <w:bidi w:val="0"/>
        <w:spacing w:line="540" w:lineRule="exact"/>
        <w:ind w:left="0" w:leftChars="0" w:firstLine="640" w:firstLineChars="200"/>
        <w:jc w:val="left"/>
        <w:textAlignment w:val="auto"/>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pPr>
      <w:r>
        <w:rPr>
          <w:rFonts w:hint="eastAsia" w:eastAsia="楷体_GB2312" w:cs="楷体_GB2312"/>
          <w:bCs/>
          <w:color w:val="000000" w:themeColor="text1"/>
          <w:lang w:val="zh-CN" w:bidi="ar"/>
          <w14:textFill>
            <w14:solidFill>
              <w14:schemeClr w14:val="tx1"/>
            </w14:solidFill>
          </w14:textFill>
        </w:rPr>
        <w:t>（一）</w:t>
      </w:r>
      <w:r>
        <w:rPr>
          <w:rFonts w:hint="eastAsia" w:ascii="Times New Roman" w:hAnsi="Times New Roman" w:eastAsia="楷体_GB2312" w:cs="楷体_GB2312"/>
          <w:bCs/>
          <w:color w:val="000000" w:themeColor="text1"/>
          <w:lang w:val="zh-CN" w:bidi="ar"/>
          <w14:textFill>
            <w14:solidFill>
              <w14:schemeClr w14:val="tx1"/>
            </w14:solidFill>
          </w14:textFill>
        </w:rPr>
        <w:t>项目资金申报及批复情况。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根据四川省财政厅《关于下达</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2024年干部教育培训机构质量提升省级财政专项资金的通知</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》（川财行[</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2024</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138号</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）精神，</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2024年12月30日省财政厅下达资金到市财政。</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该项目</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2025年年初预算数为0万元，全年调整预算数为239.95万元，全部为一般公共预算财政拨款资金，预算执行数239.95万元，预算调整原因为2025年新增下达了省级干部教育培训机构质量提升专项资金。</w:t>
      </w:r>
    </w:p>
    <w:p>
      <w:pPr>
        <w:keepNext w:val="0"/>
        <w:keepLines w:val="0"/>
        <w:pageBreakBefore w:val="0"/>
        <w:widowControl/>
        <w:kinsoku/>
        <w:wordWrap/>
        <w:overflowPunct/>
        <w:topLinePunct w:val="0"/>
        <w:autoSpaceDE/>
        <w:autoSpaceDN/>
        <w:bidi w:val="0"/>
        <w:spacing w:line="540" w:lineRule="exact"/>
        <w:ind w:firstLine="640" w:firstLineChars="200"/>
        <w:jc w:val="left"/>
        <w:textAlignment w:val="auto"/>
        <w:rPr>
          <w:rFonts w:hint="eastAsia" w:ascii="Times New Roman" w:hAnsi="Times New Roman" w:eastAsia="仿宋_GB2312" w:cs="仿宋_GB2312"/>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（二）项目绩效目标。</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本年度计划完成新建教室LED屏幕、开展四库（课程、师资、点位、试题）建设、新建视频教学会议系统、打造特色课程、打造重点课程、开展课题研究、开发教学考试及学员管理系统、开展师资培训、编写专著教材、开发精品教学线路、打造典型案例</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等，切实提高</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科研课题结项率、全市党校系统教师培训覆盖率、参训学员满意度，</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并且在</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教育培训干部、服务地方经济社会发展方面积极发挥作用。</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仿宋_GB2312"/>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（三）项目资金申报相符性。</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鉴于党校高质量发展要求，</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我校结合</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深化县级党校分类建设工作，</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进行了资金申报，申报目标切实可行。在实际执行过程中，涉及各项</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工作内容</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，均经过校院委会审议，落实过程中，严格遵照相关标准执行，</w:t>
      </w:r>
      <w:r>
        <w:rPr>
          <w:rFonts w:hint="eastAsia" w:ascii="Times New Roman" w:hAnsi="Times New Roman" w:eastAsia="仿宋_GB2312" w:cs="仿宋_GB2312"/>
          <w:color w:val="000000" w:themeColor="text1"/>
          <w:sz w:val="32"/>
          <w:szCs w:val="24"/>
          <w:lang w:bidi="ar"/>
          <w14:textFill>
            <w14:solidFill>
              <w14:schemeClr w14:val="tx1"/>
            </w14:solidFill>
          </w14:textFill>
        </w:rPr>
        <w:t>特别是</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信息化建设</w:t>
      </w:r>
      <w:r>
        <w:rPr>
          <w:rFonts w:hint="eastAsia" w:ascii="Times New Roman" w:hAnsi="Times New Roman" w:eastAsia="仿宋_GB2312" w:cs="仿宋_GB2312"/>
          <w:color w:val="000000" w:themeColor="text1"/>
          <w:sz w:val="32"/>
          <w:szCs w:val="24"/>
          <w:lang w:bidi="ar"/>
          <w14:textFill>
            <w14:solidFill>
              <w14:schemeClr w14:val="tx1"/>
            </w14:solidFill>
          </w14:textFill>
        </w:rPr>
        <w:t>，严格按照合同</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要求</w:t>
      </w:r>
      <w:r>
        <w:rPr>
          <w:rFonts w:hint="eastAsia" w:ascii="Times New Roman" w:hAnsi="Times New Roman" w:eastAsia="仿宋_GB2312" w:cs="仿宋_GB2312"/>
          <w:color w:val="000000" w:themeColor="text1"/>
          <w:sz w:val="32"/>
          <w:szCs w:val="24"/>
          <w:lang w:bidi="ar"/>
          <w14:textFill>
            <w14:solidFill>
              <w14:schemeClr w14:val="tx1"/>
            </w14:solidFill>
          </w14:textFill>
        </w:rPr>
        <w:t>进行考核</w:t>
      </w:r>
      <w:r>
        <w:rPr>
          <w:rFonts w:hint="eastAsia" w:ascii="Times New Roman" w:hAnsi="Times New Roman" w:eastAsia="仿宋_GB2312" w:cs="仿宋_GB2312"/>
          <w:color w:val="000000" w:themeColor="text1"/>
          <w:sz w:val="32"/>
          <w:szCs w:val="24"/>
          <w:lang w:eastAsia="zh-CN" w:bidi="ar"/>
          <w14:textFill>
            <w14:solidFill>
              <w14:schemeClr w14:val="tx1"/>
            </w14:solidFill>
          </w14:textFill>
        </w:rPr>
        <w:t>，</w:t>
      </w:r>
      <w:r>
        <w:rPr>
          <w:rFonts w:hint="eastAsia" w:ascii="Times New Roman" w:hAnsi="Times New Roman" w:eastAsia="仿宋_GB2312" w:cs="仿宋_GB2312"/>
          <w:color w:val="000000" w:themeColor="text1"/>
          <w:sz w:val="32"/>
          <w:szCs w:val="24"/>
          <w:lang w:bidi="ar"/>
          <w14:textFill>
            <w14:solidFill>
              <w14:schemeClr w14:val="tx1"/>
            </w14:solidFill>
          </w14:textFill>
        </w:rPr>
        <w:t>达到合格标准才能进行相应支付，</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始终确保项目申报内容与具体实施内容相符。</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二、项目实施及管理情况</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楷体_GB2312" w:cs="楷体_GB2312"/>
          <w:bCs/>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ab/>
      </w:r>
      <w:r>
        <w:rPr>
          <w:rFonts w:hint="eastAsia" w:ascii="Times New Roman" w:hAnsi="Times New Roman" w:eastAsia="楷体_GB2312" w:cs="楷体_GB2312"/>
          <w:bCs/>
          <w:color w:val="000000" w:themeColor="text1"/>
          <w:lang w:val="zh-CN" w:bidi="ar"/>
          <w14:textFill>
            <w14:solidFill>
              <w14:schemeClr w14:val="tx1"/>
            </w14:solidFill>
          </w14:textFill>
        </w:rPr>
        <w:t>（一）资金计划、到位及使用情况。</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 w:cs="仿宋"/>
          <w:b w:val="0"/>
          <w:bCs w:val="0"/>
          <w:color w:val="000000" w:themeColor="text1"/>
          <w:lang w:bidi="ar"/>
          <w14:textFill>
            <w14:solidFill>
              <w14:schemeClr w14:val="tx1"/>
            </w14:solidFill>
          </w14:textFill>
        </w:rPr>
      </w:pPr>
      <w:r>
        <w:rPr>
          <w:rFonts w:hint="eastAsia" w:ascii="Times New Roman" w:hAnsi="Times New Roman" w:eastAsia="楷体_GB2312" w:cs="楷体_GB2312"/>
          <w:bCs/>
          <w:color w:val="000000" w:themeColor="text1"/>
          <w:lang w:val="en-US" w:eastAsia="zh-CN" w:bidi="ar"/>
          <w14:textFill>
            <w14:solidFill>
              <w14:schemeClr w14:val="tx1"/>
            </w14:solidFill>
          </w14:textFill>
        </w:rPr>
        <w:t>1.</w:t>
      </w:r>
      <w:r>
        <w:rPr>
          <w:rFonts w:hint="eastAsia" w:ascii="Times New Roman" w:hAnsi="Times New Roman" w:eastAsia="楷体_GB2312" w:cs="楷体_GB2312"/>
          <w:bCs/>
          <w:color w:val="000000" w:themeColor="text1"/>
          <w:lang w:val="zh-CN" w:bidi="ar"/>
          <w14:textFill>
            <w14:solidFill>
              <w14:schemeClr w14:val="tx1"/>
            </w14:solidFill>
          </w14:textFill>
        </w:rPr>
        <w:t>资金计划及到位。</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该项目</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2025年下达资金239.95万元</w:t>
      </w:r>
      <w:r>
        <w:rPr>
          <w:rFonts w:hint="eastAsia" w:ascii="Times New Roman" w:hAnsi="Times New Roman" w:eastAsia="仿宋_GB2312" w:cs="仿宋_GB2312"/>
          <w:color w:val="000000" w:themeColor="text1"/>
          <w:sz w:val="32"/>
          <w:szCs w:val="24"/>
          <w:lang w:bidi="ar"/>
          <w14:textFill>
            <w14:solidFill>
              <w14:schemeClr w14:val="tx1"/>
            </w14:solidFill>
          </w14:textFill>
        </w:rPr>
        <w:t>，全部为一般公共预算财政拨款资金。资金到位及时。</w:t>
      </w:r>
    </w:p>
    <w:p>
      <w:pPr>
        <w:pStyle w:val="28"/>
        <w:keepNext w:val="0"/>
        <w:keepLines w:val="0"/>
        <w:pageBreakBefore w:val="0"/>
        <w:kinsoku/>
        <w:wordWrap/>
        <w:overflowPunct/>
        <w:topLinePunct w:val="0"/>
        <w:autoSpaceDE/>
        <w:autoSpaceDN/>
        <w:bidi w:val="0"/>
        <w:spacing w:line="540" w:lineRule="exact"/>
        <w:ind w:firstLine="640" w:firstLineChars="200"/>
        <w:jc w:val="left"/>
        <w:textAlignment w:val="auto"/>
        <w:rPr>
          <w:rFonts w:hint="eastAsia" w:ascii="Times New Roman" w:hAnsi="Times New Roman" w:eastAsia="仿宋" w:cs="仿宋"/>
          <w:b w:val="0"/>
          <w:bCs w:val="0"/>
          <w:color w:val="000000" w:themeColor="text1"/>
          <w:kern w:val="2"/>
          <w:sz w:val="32"/>
          <w:szCs w:val="24"/>
          <w:lang w:val="zh-CN" w:eastAsia="zh-CN" w:bidi="ar"/>
          <w14:textFill>
            <w14:solidFill>
              <w14:schemeClr w14:val="tx1"/>
            </w14:solidFill>
          </w14:textFill>
        </w:rPr>
      </w:pPr>
      <w:r>
        <w:rPr>
          <w:rFonts w:hint="eastAsia" w:ascii="Times New Roman" w:hAnsi="Times New Roman" w:eastAsia="楷体_GB2312" w:cs="楷体_GB2312"/>
          <w:bCs/>
          <w:color w:val="000000" w:themeColor="text1"/>
          <w:kern w:val="2"/>
          <w:sz w:val="32"/>
          <w:szCs w:val="24"/>
          <w:lang w:val="en-US" w:eastAsia="zh-CN" w:bidi="ar"/>
          <w14:textFill>
            <w14:solidFill>
              <w14:schemeClr w14:val="tx1"/>
            </w14:solidFill>
          </w14:textFill>
        </w:rPr>
        <w:t>2.</w:t>
      </w:r>
      <w:r>
        <w:rPr>
          <w:rFonts w:hint="eastAsia" w:ascii="Times New Roman" w:hAnsi="Times New Roman" w:eastAsia="楷体_GB2312" w:cs="楷体_GB2312"/>
          <w:bCs/>
          <w:color w:val="000000" w:themeColor="text1"/>
          <w:kern w:val="2"/>
          <w:sz w:val="32"/>
          <w:szCs w:val="24"/>
          <w:lang w:val="zh-CN" w:eastAsia="zh-CN" w:bidi="ar"/>
          <w14:textFill>
            <w14:solidFill>
              <w14:schemeClr w14:val="tx1"/>
            </w14:solidFill>
          </w14:textFill>
        </w:rPr>
        <w:t>资金使用。</w:t>
      </w:r>
      <w:r>
        <w:rPr>
          <w:rFonts w:hint="eastAsia" w:ascii="Times New Roman" w:hAnsi="Times New Roman" w:eastAsia="仿宋_GB2312" w:cs="仿宋_GB2312"/>
          <w:color w:val="000000" w:themeColor="text1"/>
          <w:kern w:val="2"/>
          <w:sz w:val="32"/>
          <w:szCs w:val="24"/>
          <w:lang w:val="zh-CN" w:eastAsia="zh-CN" w:bidi="ar"/>
          <w14:textFill>
            <w14:solidFill>
              <w14:schemeClr w14:val="tx1"/>
            </w14:solidFill>
          </w14:textFill>
        </w:rPr>
        <w:t>该项目严格按照资金支付规定和合同的履约标准进行支付，202</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5</w:t>
      </w:r>
      <w:r>
        <w:rPr>
          <w:rFonts w:hint="eastAsia" w:ascii="Times New Roman" w:hAnsi="Times New Roman" w:eastAsia="仿宋_GB2312" w:cs="仿宋_GB2312"/>
          <w:color w:val="000000" w:themeColor="text1"/>
          <w:kern w:val="2"/>
          <w:sz w:val="32"/>
          <w:szCs w:val="24"/>
          <w:lang w:val="zh-CN" w:eastAsia="zh-CN" w:bidi="ar"/>
          <w14:textFill>
            <w14:solidFill>
              <w14:schemeClr w14:val="tx1"/>
            </w14:solidFill>
          </w14:textFill>
        </w:rPr>
        <w:t>年，</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省级干部教育培训机构质量提升专项资金项目</w:t>
      </w:r>
      <w:r>
        <w:rPr>
          <w:rFonts w:hint="eastAsia" w:ascii="Times New Roman" w:hAnsi="Times New Roman" w:eastAsia="仿宋_GB2312" w:cs="仿宋_GB2312"/>
          <w:color w:val="000000" w:themeColor="text1"/>
          <w:kern w:val="2"/>
          <w:sz w:val="32"/>
          <w:szCs w:val="24"/>
          <w:lang w:val="zh-CN" w:eastAsia="zh-CN" w:bidi="ar"/>
          <w14:textFill>
            <w14:solidFill>
              <w14:schemeClr w14:val="tx1"/>
            </w14:solidFill>
          </w14:textFill>
        </w:rPr>
        <w:t>共计支出</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239.95万元</w:t>
      </w:r>
      <w:r>
        <w:rPr>
          <w:rFonts w:hint="eastAsia" w:ascii="Times New Roman" w:hAnsi="Times New Roman" w:eastAsia="仿宋_GB2312" w:cs="仿宋_GB2312"/>
          <w:color w:val="000000" w:themeColor="text1"/>
          <w:kern w:val="2"/>
          <w:sz w:val="32"/>
          <w:szCs w:val="24"/>
          <w:lang w:val="zh-CN" w:eastAsia="zh-CN" w:bidi="ar"/>
          <w14:textFill>
            <w14:solidFill>
              <w14:schemeClr w14:val="tx1"/>
            </w14:solidFill>
          </w14:textFill>
        </w:rPr>
        <w:t>，支付依据合规合法。</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_GB2312" w:cs="仿宋_GB2312"/>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lang w:val="zh-CN" w:eastAsia="zh-CN" w:bidi="ar"/>
          <w14:textFill>
            <w14:solidFill>
              <w14:schemeClr w14:val="tx1"/>
            </w14:solidFill>
          </w14:textFill>
        </w:rPr>
        <w:t>（二）项目财务管理情况。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该项目严格执行我校《物资采购管理制度》《中共自贡市委党校内部控制手册》《合同管理暂行办法》等制度规范，全年未出现重大工作失误和安全问题。资金支付环节，始终认真对照项目资金管理办法，专款专用，严格执行财务管理制度，处理及时，会计核算标准。</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仿宋_GB2312"/>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（三）项目组织实施情况。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该项目由财务科负责资金申报，</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教务科、科研科、研究室、电教网络室、各教研室分别牵头</w:t>
      </w:r>
      <w:r>
        <w:rPr>
          <w:rFonts w:hint="eastAsia" w:ascii="Times New Roman" w:hAnsi="Times New Roman" w:eastAsia="仿宋_GB2312" w:cs="仿宋_GB2312"/>
          <w:color w:val="000000" w:themeColor="text1"/>
          <w:sz w:val="32"/>
          <w:szCs w:val="24"/>
          <w:lang w:bidi="ar"/>
          <w14:textFill>
            <w14:solidFill>
              <w14:schemeClr w14:val="tx1"/>
            </w14:solidFill>
          </w14:textFill>
        </w:rPr>
        <w:t>实施</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val="zh-CN"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三、项目绩效情况</w:t>
      </w:r>
      <w:r>
        <w:rPr>
          <w:rFonts w:hint="eastAsia" w:ascii="Times New Roman" w:hAnsi="Times New Roman" w:eastAsia="黑体" w:cs="黑体"/>
          <w:b w:val="0"/>
          <w:bCs w:val="0"/>
          <w:color w:val="000000" w:themeColor="text1"/>
          <w:lang w:val="zh-CN" w:bidi="ar"/>
          <w14:textFill>
            <w14:solidFill>
              <w14:schemeClr w14:val="tx1"/>
            </w14:solidFill>
          </w14:textFill>
        </w:rPr>
        <w:tab/>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仿宋_GB2312"/>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（一）项目完成情况。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项目所有绩效指标基本完成。</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一是在</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数量指标方面，新建LED屏幕、视频会议系统，完成四库建设、特色及重点课程打造、课题研究、管理系统开发、师资培训、专著教材、精品线路及典型案例等全部目标；</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二是</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质量指标中科研课题结项率达100%；三是效益指标中全市党校系统教师培训覆盖率</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100%，在教育培训干部、服务地方经济社会发展方面积极发挥作用；四是参训学员满意度达到98.7%</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_GB2312" w:cs="仿宋_GB2312"/>
          <w:color w:val="000000" w:themeColor="text1"/>
          <w:sz w:val="32"/>
          <w:szCs w:val="24"/>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（二）项目效益情况。</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严格按照</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专项资金使用有关规定，实现教学科研咨政等主责主业可持续发展，同时，通过实施该项目，</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有效提升了干部教育培训水平，有力服务地方经济社会发展。参训学员满意度高。</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黑体" w:cs="黑体"/>
          <w:b w:val="0"/>
          <w:bCs w:val="0"/>
          <w:color w:val="000000" w:themeColor="text1"/>
          <w:lang w:bidi="ar"/>
          <w14:textFill>
            <w14:solidFill>
              <w14:schemeClr w14:val="tx1"/>
            </w14:solidFill>
          </w14:textFill>
        </w:rPr>
      </w:pPr>
      <w:r>
        <w:rPr>
          <w:rFonts w:hint="eastAsia" w:ascii="Times New Roman" w:hAnsi="Times New Roman" w:eastAsia="黑体" w:cs="黑体"/>
          <w:b w:val="0"/>
          <w:bCs w:val="0"/>
          <w:color w:val="000000" w:themeColor="text1"/>
          <w:lang w:bidi="ar"/>
          <w14:textFill>
            <w14:solidFill>
              <w14:schemeClr w14:val="tx1"/>
            </w14:solidFill>
          </w14:textFill>
        </w:rPr>
        <w:t>四、问题及建议</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eastAsia="仿宋" w:cs="仿宋"/>
          <w:b w:val="0"/>
          <w:bCs w:val="0"/>
          <w:color w:val="000000" w:themeColor="text1"/>
          <w:lang w:val="en-US" w:eastAsia="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（一）存在的问题。</w:t>
      </w:r>
      <w:r>
        <w:rPr>
          <w:rFonts w:hint="eastAsia" w:eastAsia="仿宋" w:cs="仿宋"/>
          <w:b w:val="0"/>
          <w:bCs w:val="0"/>
          <w:color w:val="000000" w:themeColor="text1"/>
          <w:lang w:val="en-US" w:eastAsia="zh-CN" w:bidi="ar"/>
          <w14:textFill>
            <w14:solidFill>
              <w14:schemeClr w14:val="tx1"/>
            </w14:solidFill>
          </w14:textFill>
        </w:rPr>
        <w:t>无。</w:t>
      </w:r>
    </w:p>
    <w:p>
      <w:pPr>
        <w:keepNext w:val="0"/>
        <w:keepLines w:val="0"/>
        <w:pageBreakBefore w:val="0"/>
        <w:kinsoku/>
        <w:wordWrap/>
        <w:overflowPunct/>
        <w:topLinePunct w:val="0"/>
        <w:autoSpaceDE/>
        <w:autoSpaceDN/>
        <w:bidi w:val="0"/>
        <w:adjustRightInd w:val="0"/>
        <w:snapToGrid w:val="0"/>
        <w:spacing w:line="540" w:lineRule="exact"/>
        <w:ind w:firstLine="720"/>
        <w:jc w:val="left"/>
        <w:textAlignment w:val="auto"/>
        <w:rPr>
          <w:rFonts w:hint="eastAsia" w:ascii="Times New Roman" w:hAnsi="Times New Roman" w:eastAsia="仿宋" w:cs="仿宋"/>
          <w:b w:val="0"/>
          <w:bCs w:val="0"/>
          <w:color w:val="000000" w:themeColor="text1"/>
          <w:lang w:val="zh-CN" w:bidi="ar"/>
          <w14:textFill>
            <w14:solidFill>
              <w14:schemeClr w14:val="tx1"/>
            </w14:solidFill>
          </w14:textFill>
        </w:rPr>
      </w:pPr>
      <w:r>
        <w:rPr>
          <w:rFonts w:hint="eastAsia" w:ascii="Times New Roman" w:hAnsi="Times New Roman" w:eastAsia="楷体_GB2312" w:cs="楷体_GB2312"/>
          <w:bCs/>
          <w:color w:val="000000" w:themeColor="text1"/>
          <w:lang w:val="zh-CN" w:bidi="ar"/>
          <w14:textFill>
            <w14:solidFill>
              <w14:schemeClr w14:val="tx1"/>
            </w14:solidFill>
          </w14:textFill>
        </w:rPr>
        <w:t>（二）相关建议。</w:t>
      </w:r>
      <w:r>
        <w:rPr>
          <w:rFonts w:hint="eastAsia" w:eastAsia="仿宋" w:cs="仿宋"/>
          <w:b w:val="0"/>
          <w:bCs w:val="0"/>
          <w:color w:val="000000" w:themeColor="text1"/>
          <w:lang w:val="en-US" w:eastAsia="zh-CN" w:bidi="ar"/>
          <w14:textFill>
            <w14:solidFill>
              <w14:schemeClr w14:val="tx1"/>
            </w14:solidFill>
          </w14:textFill>
        </w:rPr>
        <w:t>无</w:t>
      </w:r>
      <w:r>
        <w:rPr>
          <w:rFonts w:hint="eastAsia" w:ascii="Times New Roman" w:hAnsi="Times New Roman" w:eastAsia="仿宋" w:cs="仿宋"/>
          <w:b w:val="0"/>
          <w:bCs w:val="0"/>
          <w:color w:val="000000" w:themeColor="text1"/>
          <w:lang w:val="zh-CN" w:bidi="ar"/>
          <w14:textFill>
            <w14:solidFill>
              <w14:schemeClr w14:val="tx1"/>
            </w14:solidFill>
          </w14:textFill>
        </w:rPr>
        <w:t>。</w:t>
      </w: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5"/>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keepNext w:val="0"/>
        <w:keepLines w:val="0"/>
        <w:pageBreakBefore w:val="0"/>
        <w:kinsoku/>
        <w:wordWrap/>
        <w:overflowPunct/>
        <w:topLinePunct w:val="0"/>
        <w:autoSpaceDE/>
        <w:autoSpaceDN/>
        <w:bidi w:val="0"/>
        <w:spacing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9"/>
        <w:keepNext w:val="0"/>
        <w:keepLines w:val="0"/>
        <w:pageBreakBefore w:val="0"/>
        <w:kinsoku/>
        <w:wordWrap/>
        <w:overflowPunct/>
        <w:topLinePunct w:val="0"/>
        <w:autoSpaceDE/>
        <w:autoSpaceDN/>
        <w:bidi w:val="0"/>
        <w:spacing w:after="0" w:line="540" w:lineRule="exact"/>
        <w:jc w:val="left"/>
        <w:textAlignment w:val="auto"/>
        <w:rPr>
          <w:rFonts w:hint="eastAsia" w:cs="Times New Roman"/>
          <w:color w:val="000000" w:themeColor="text1"/>
          <w:kern w:val="2"/>
          <w:sz w:val="32"/>
          <w:szCs w:val="24"/>
          <w:lang w:val="zh-CN" w:eastAsia="zh-CN" w:bidi="ar"/>
          <w14:textFill>
            <w14:solidFill>
              <w14:schemeClr w14:val="tx1"/>
            </w14:solidFill>
          </w14:textFill>
        </w:rPr>
      </w:pPr>
    </w:p>
    <w:p>
      <w:pPr>
        <w:pStyle w:val="28"/>
        <w:keepNext w:val="0"/>
        <w:keepLines w:val="0"/>
        <w:pageBreakBefore w:val="0"/>
        <w:widowControl/>
        <w:kinsoku/>
        <w:wordWrap/>
        <w:overflowPunct/>
        <w:topLinePunct w:val="0"/>
        <w:autoSpaceDE/>
        <w:autoSpaceDN/>
        <w:bidi w:val="0"/>
        <w:spacing w:line="540" w:lineRule="exact"/>
        <w:jc w:val="center"/>
        <w:textAlignment w:val="auto"/>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val="en-US"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w:t>
      </w:r>
      <w:r>
        <w:rPr>
          <w:rFonts w:hint="eastAsia" w:ascii="Times New Roman" w:hAnsi="Times New Roman" w:eastAsia="方正小标宋简体" w:cs="方正小标宋简体"/>
          <w:color w:val="000000" w:themeColor="text1"/>
          <w:sz w:val="44"/>
          <w:szCs w:val="44"/>
          <w:lang w:val="en-US" w:eastAsia="zh-CN"/>
          <w14:textFill>
            <w14:solidFill>
              <w14:schemeClr w14:val="tx1"/>
            </w14:solidFill>
          </w14:textFill>
        </w:rPr>
        <w:t>自评</w:t>
      </w:r>
      <w:r>
        <w:rPr>
          <w:rFonts w:hint="eastAsia" w:ascii="Times New Roman" w:hAnsi="Times New Roman" w:eastAsia="方正小标宋简体" w:cs="方正小标宋简体"/>
          <w:color w:val="000000" w:themeColor="text1"/>
          <w:sz w:val="44"/>
          <w:szCs w:val="44"/>
          <w14:textFill>
            <w14:solidFill>
              <w14:schemeClr w14:val="tx1"/>
            </w14:solidFill>
          </w14:textFill>
        </w:rPr>
        <w:t>报告</w:t>
      </w:r>
    </w:p>
    <w:p>
      <w:pPr>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pP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（市委党校对外合作培训经费（管理））</w:t>
      </w:r>
    </w:p>
    <w:p>
      <w:pPr>
        <w:pStyle w:val="9"/>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color w:val="000000" w:themeColor="text1"/>
          <w:lang w:val="en-US" w:eastAsia="zh-CN"/>
          <w14:textFill>
            <w14:solidFill>
              <w14:schemeClr w14:val="tx1"/>
            </w14:solidFill>
          </w14:textFill>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一、项目概况</w:t>
      </w:r>
    </w:p>
    <w:p>
      <w:pPr>
        <w:keepNext w:val="0"/>
        <w:keepLines w:val="0"/>
        <w:pageBreakBefore w:val="0"/>
        <w:widowControl/>
        <w:numPr>
          <w:ilvl w:val="0"/>
          <w:numId w:val="0"/>
        </w:numPr>
        <w:suppressLineNumbers w:val="0"/>
        <w:kinsoku/>
        <w:wordWrap/>
        <w:overflowPunct/>
        <w:topLinePunct w:val="0"/>
        <w:autoSpaceDE/>
        <w:autoSpaceDN/>
        <w:bidi w:val="0"/>
        <w:spacing w:line="540" w:lineRule="exact"/>
        <w:ind w:left="0" w:lef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（一）项目资金申报及批复情况。</w:t>
      </w:r>
      <w:r>
        <w:rPr>
          <w:rFonts w:hint="eastAsia" w:ascii="Times New Roman" w:hAnsi="Times New Roman" w:cs="Times New Roman"/>
          <w:color w:val="000000" w:themeColor="text1"/>
          <w:lang w:val="en-US" w:eastAsia="zh-CN"/>
          <w14:textFill>
            <w14:solidFill>
              <w14:schemeClr w14:val="tx1"/>
            </w14:solidFill>
          </w14:textFill>
        </w:rPr>
        <w:t>为深入贯彻落实《中国共产党党校（行政学院）工作条例》，聚焦干部教育培训主责主业，市委党校以“跨区域协作+特色资源赋能”为核心，聚焦川渝地区干部培训需求，推动区域干部教育协同发展。本项目资金年初预算申报数为14.4万元，全年调整预算数为1</w:t>
      </w:r>
      <w:r>
        <w:rPr>
          <w:rFonts w:hint="eastAsia" w:cs="Times New Roman"/>
          <w:color w:val="000000" w:themeColor="text1"/>
          <w:lang w:val="en-US" w:eastAsia="zh-CN"/>
          <w14:textFill>
            <w14:solidFill>
              <w14:schemeClr w14:val="tx1"/>
            </w14:solidFill>
          </w14:textFill>
        </w:rPr>
        <w:t>85.5</w:t>
      </w:r>
      <w:r>
        <w:rPr>
          <w:rFonts w:hint="eastAsia" w:ascii="Times New Roman" w:hAnsi="Times New Roman" w:cs="Times New Roman"/>
          <w:color w:val="000000" w:themeColor="text1"/>
          <w:lang w:val="en-US" w:eastAsia="zh-CN"/>
          <w14:textFill>
            <w14:solidFill>
              <w14:schemeClr w14:val="tx1"/>
            </w14:solidFill>
          </w14:textFill>
        </w:rPr>
        <w:t>万元，</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全部为一般公共预算财政拨款资金</w:t>
      </w:r>
      <w:r>
        <w:rPr>
          <w:rFonts w:hint="eastAsia" w:ascii="Times New Roman" w:hAnsi="Times New Roman" w:cs="Times New Roman"/>
          <w:color w:val="000000" w:themeColor="text1"/>
          <w:kern w:val="2"/>
          <w:sz w:val="32"/>
          <w:szCs w:val="24"/>
          <w:lang w:val="en-US" w:eastAsia="zh-CN" w:bidi="ar-SA"/>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预算执行数</w:t>
      </w:r>
      <w:r>
        <w:rPr>
          <w:rFonts w:hint="eastAsia" w:cs="Times New Roman"/>
          <w:color w:val="000000" w:themeColor="text1"/>
          <w:lang w:val="en-US" w:eastAsia="zh-CN"/>
          <w14:textFill>
            <w14:solidFill>
              <w14:schemeClr w14:val="tx1"/>
            </w14:solidFill>
          </w14:textFill>
        </w:rPr>
        <w:t>185.5</w:t>
      </w:r>
      <w:r>
        <w:rPr>
          <w:rFonts w:hint="eastAsia" w:ascii="Times New Roman" w:hAnsi="Times New Roman" w:cs="Times New Roman"/>
          <w:color w:val="000000" w:themeColor="text1"/>
          <w:lang w:val="en-US" w:eastAsia="zh-CN"/>
          <w14:textFill>
            <w14:solidFill>
              <w14:schemeClr w14:val="tx1"/>
            </w14:solidFill>
          </w14:textFill>
        </w:rPr>
        <w:t>万元，预算调整原因为2025年对外合作培训班次人次较年初预算有大幅增加。</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（二）项目绩效目标。</w:t>
      </w:r>
      <w:r>
        <w:rPr>
          <w:rFonts w:hint="eastAsia" w:ascii="Times New Roman" w:hAnsi="Times New Roman" w:cs="Times New Roman"/>
          <w:color w:val="000000" w:themeColor="text1"/>
          <w:lang w:val="en-US" w:eastAsia="zh-CN"/>
          <w14:textFill>
            <w14:solidFill>
              <w14:schemeClr w14:val="tx1"/>
            </w14:solidFill>
          </w14:textFill>
        </w:rPr>
        <w:t>该项目2025年计划承接外来培训班</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个以上，扩大自贡知名度，吸引更多省内外党员干部前来自贡学习。该项目设置了承接外来培训班数量、培训学员数量、培训计划按期完成率等产出指标，设置了提升党校对外培训知名度效益指标及参训学员满意度指标等。</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（三）项目资金申报相符性。</w:t>
      </w:r>
      <w:r>
        <w:rPr>
          <w:rFonts w:hint="eastAsia" w:ascii="Times New Roman" w:hAnsi="Times New Roman" w:cs="Times New Roman"/>
          <w:color w:val="000000" w:themeColor="text1"/>
          <w:lang w:val="en-US" w:eastAsia="zh-CN"/>
          <w14:textFill>
            <w14:solidFill>
              <w14:schemeClr w14:val="tx1"/>
            </w14:solidFill>
          </w14:textFill>
        </w:rPr>
        <w:t>为适应新时代市县级党校分类建设需要，更好发挥本土特色教学基地、现场教学点的作用，市委党校围绕持续加强对外办学的班次承接与相应保障申报资金，申报目标合理可行。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二、项目实施及管理情况</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（一）资金计划、到位及使用情况</w:t>
      </w:r>
    </w:p>
    <w:p>
      <w:pPr>
        <w:pStyle w:val="9"/>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Times New Roman" w:hAnsi="Times New Roman" w:eastAsia="楷体_GB2312" w:cs="Times New Roman"/>
          <w:color w:val="000000" w:themeColor="text1"/>
          <w:kern w:val="2"/>
          <w:sz w:val="32"/>
          <w:szCs w:val="24"/>
          <w:lang w:val="en-US" w:eastAsia="zh-CN" w:bidi="ar"/>
          <w14:textFill>
            <w14:solidFill>
              <w14:schemeClr w14:val="tx1"/>
            </w14:solidFill>
          </w14:textFill>
        </w:rPr>
        <w:t>1．资金计划及到位。</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该项目资金年初预算</w:t>
      </w:r>
      <w:r>
        <w:rPr>
          <w:rFonts w:hint="eastAsia" w:cs="Times New Roman"/>
          <w:color w:val="000000" w:themeColor="text1"/>
          <w:kern w:val="2"/>
          <w:sz w:val="32"/>
          <w:szCs w:val="24"/>
          <w:lang w:val="en-US" w:eastAsia="zh-CN" w:bidi="ar-SA"/>
          <w14:textFill>
            <w14:solidFill>
              <w14:schemeClr w14:val="tx1"/>
            </w14:solidFill>
          </w14:textFill>
        </w:rPr>
        <w:t>14.4</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万元，全年调整预算数为</w:t>
      </w:r>
      <w:r>
        <w:rPr>
          <w:rFonts w:hint="eastAsia" w:cs="Times New Roman"/>
          <w:color w:val="000000" w:themeColor="text1"/>
          <w:kern w:val="2"/>
          <w:sz w:val="32"/>
          <w:szCs w:val="24"/>
          <w:lang w:val="en-US" w:eastAsia="zh-CN" w:bidi="ar-SA"/>
          <w14:textFill>
            <w14:solidFill>
              <w14:schemeClr w14:val="tx1"/>
            </w14:solidFill>
          </w14:textFill>
        </w:rPr>
        <w:t>185.5</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万元，全部为一般公共预算财政拨款资金</w:t>
      </w:r>
      <w:r>
        <w:rPr>
          <w:rFonts w:hint="eastAsia" w:ascii="Times New Roman" w:hAnsi="Times New Roman" w:cs="Times New Roman"/>
          <w:color w:val="000000" w:themeColor="text1"/>
          <w:kern w:val="2"/>
          <w:sz w:val="32"/>
          <w:szCs w:val="24"/>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资金到位及时。</w:t>
      </w:r>
    </w:p>
    <w:p>
      <w:pPr>
        <w:pStyle w:val="9"/>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Times New Roman" w:hAnsi="Times New Roman" w:eastAsia="楷体_GB2312" w:cs="Times New Roman"/>
          <w:color w:val="000000" w:themeColor="text1"/>
          <w:kern w:val="2"/>
          <w:sz w:val="32"/>
          <w:szCs w:val="24"/>
          <w:lang w:val="en-US" w:eastAsia="zh-CN" w:bidi="ar"/>
          <w14:textFill>
            <w14:solidFill>
              <w14:schemeClr w14:val="tx1"/>
            </w14:solidFill>
          </w14:textFill>
        </w:rPr>
        <w:t>2．资金使用。</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该项目严格按照资金支付规定和合同的履约标准进行支付，考核结果的原始表格以及发票手续齐全。202</w:t>
      </w:r>
      <w:r>
        <w:rPr>
          <w:rFonts w:hint="eastAsia" w:cs="Times New Roman"/>
          <w:color w:val="000000" w:themeColor="text1"/>
          <w:kern w:val="2"/>
          <w:sz w:val="32"/>
          <w:szCs w:val="24"/>
          <w:lang w:val="en-US" w:eastAsia="zh-CN" w:bidi="ar-SA"/>
          <w14:textFill>
            <w14:solidFill>
              <w14:schemeClr w14:val="tx1"/>
            </w14:solidFill>
          </w14:textFill>
        </w:rPr>
        <w:t>5</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年，</w:t>
      </w:r>
      <w:r>
        <w:rPr>
          <w:rFonts w:hint="eastAsia" w:ascii="Times New Roman" w:hAnsi="Times New Roman" w:eastAsia="仿宋_GB2312" w:cs="仿宋_GB2312"/>
          <w:color w:val="000000" w:themeColor="text1"/>
          <w:sz w:val="32"/>
          <w:szCs w:val="24"/>
          <w:lang w:val="en-US" w:eastAsia="zh-CN" w:bidi="ar"/>
          <w14:textFill>
            <w14:solidFill>
              <w14:schemeClr w14:val="tx1"/>
            </w14:solidFill>
          </w14:textFill>
        </w:rPr>
        <w:t>市委党校对外合作培训经费（管理）</w:t>
      </w:r>
      <w:r>
        <w:rPr>
          <w:rFonts w:hint="eastAsia" w:ascii="Times New Roman" w:hAnsi="Times New Roman" w:cs="仿宋_GB2312"/>
          <w:color w:val="000000" w:themeColor="text1"/>
          <w:sz w:val="32"/>
          <w:szCs w:val="24"/>
          <w:lang w:val="en-US" w:eastAsia="zh-CN" w:bidi="ar"/>
          <w14:textFill>
            <w14:solidFill>
              <w14:schemeClr w14:val="tx1"/>
            </w14:solidFill>
          </w14:textFill>
        </w:rPr>
        <w:t>项目</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共计支出</w:t>
      </w:r>
      <w:r>
        <w:rPr>
          <w:rFonts w:hint="eastAsia" w:cs="Times New Roman"/>
          <w:color w:val="000000" w:themeColor="text1"/>
          <w:kern w:val="2"/>
          <w:sz w:val="32"/>
          <w:szCs w:val="24"/>
          <w:lang w:val="en-US" w:eastAsia="zh-CN" w:bidi="ar-SA"/>
          <w14:textFill>
            <w14:solidFill>
              <w14:schemeClr w14:val="tx1"/>
            </w14:solidFill>
          </w14:textFill>
        </w:rPr>
        <w:t>185.5</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万元，支付依据合规合法，与预算相符。</w:t>
      </w:r>
    </w:p>
    <w:p>
      <w:pPr>
        <w:pStyle w:val="9"/>
        <w:keepNext w:val="0"/>
        <w:keepLines w:val="0"/>
        <w:pageBreakBefore w:val="0"/>
        <w:kinsoku/>
        <w:wordWrap/>
        <w:overflowPunct/>
        <w:topLinePunct w:val="0"/>
        <w:autoSpaceDE/>
        <w:autoSpaceDN/>
        <w:bidi w:val="0"/>
        <w:spacing w:after="0" w:line="540" w:lineRule="exact"/>
        <w:ind w:left="0" w:leftChars="0" w:firstLine="640" w:firstLineChars="200"/>
        <w:jc w:val="left"/>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（二）项目财务管理情况。</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该项目严格执行</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《自贡市市级机关培训费管理</w:t>
      </w:r>
      <w:r>
        <w:rPr>
          <w:rFonts w:hint="eastAsia" w:ascii="Times New Roman" w:hAnsi="Times New Roman" w:cs="仿宋_GB2312"/>
          <w:color w:val="000000" w:themeColor="text1"/>
          <w:sz w:val="32"/>
          <w:szCs w:val="24"/>
          <w:lang w:val="zh-CN" w:bidi="ar"/>
          <w14:textFill>
            <w14:solidFill>
              <w14:schemeClr w14:val="tx1"/>
            </w14:solidFill>
          </w14:textFill>
        </w:rPr>
        <w:t>实施</w:t>
      </w:r>
      <w:r>
        <w:rPr>
          <w:rFonts w:hint="eastAsia" w:ascii="Times New Roman" w:hAnsi="Times New Roman" w:eastAsia="仿宋_GB2312" w:cs="仿宋_GB2312"/>
          <w:color w:val="000000" w:themeColor="text1"/>
          <w:sz w:val="32"/>
          <w:szCs w:val="24"/>
          <w:lang w:val="zh-CN" w:bidi="ar"/>
          <w14:textFill>
            <w14:solidFill>
              <w14:schemeClr w14:val="tx1"/>
            </w14:solidFill>
          </w14:textFill>
        </w:rPr>
        <w:t>办法》</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。资金支付环节，始终认真对照项目资金管理办法，专款专用，评价项目严格执行财务管理制度，处理及时，会计核算标准。</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（三）项目组织实施情况</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zh-CN"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管理架构：形成由主要领导负总责，分管领导分工负责，对口业务科室具体负责的管理架构和责任体系。日常事务由业务科室协调送培单位和校内其他科室共同推进和完成，重要事项报分管领导或主要领导决策，大额资金支付和重大事项，按规定提交校院委会审议。</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zh-CN"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实施流程。送培单位与业务科室在充分对接沟通基础上形成培训方案，报校分管领导审批同意后与送培方签订培训协议。业务科室按照培训协议聘请师资、安排课程和现场教学等内容，做好全程跟班服务和安全管理。培训结束，及时完善费用支付报销手续，按班结算和报销。</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3.监管措施。学员从课程设置、师资水平、服务保障3个维度进行满意度测评。学校从财务、纪律等方面实行日常监管。业务科室通过班主任带班考核制度对班主任进行全程考核监督，确保办班带班质量和效果。</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三、项目绩效情况</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zh-CN"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（一）项目完成情况。2025年</w:t>
      </w:r>
      <w:r>
        <w:rPr>
          <w:rFonts w:hint="eastAsia" w:ascii="Times New Roman" w:hAnsi="Times New Roman" w:cs="Times New Roman"/>
          <w:color w:val="000000" w:themeColor="text1"/>
          <w:lang w:val="en-US" w:eastAsia="zh-CN"/>
          <w14:textFill>
            <w14:solidFill>
              <w14:schemeClr w14:val="tx1"/>
            </w14:solidFill>
          </w14:textFill>
        </w:rPr>
        <w:t>举办对外合作培训班</w:t>
      </w:r>
      <w:r>
        <w:rPr>
          <w:rFonts w:hint="eastAsia" w:cs="Times New Roman"/>
          <w:color w:val="000000" w:themeColor="text1"/>
          <w:lang w:val="en-US" w:eastAsia="zh-CN"/>
          <w14:textFill>
            <w14:solidFill>
              <w14:schemeClr w14:val="tx1"/>
            </w14:solidFill>
          </w14:textFill>
        </w:rPr>
        <w:t>33</w:t>
      </w:r>
      <w:r>
        <w:rPr>
          <w:rFonts w:hint="eastAsia" w:ascii="Times New Roman" w:hAnsi="Times New Roman" w:cs="Times New Roman"/>
          <w:color w:val="000000" w:themeColor="text1"/>
          <w:lang w:val="en-US" w:eastAsia="zh-CN"/>
          <w14:textFill>
            <w14:solidFill>
              <w14:schemeClr w14:val="tx1"/>
            </w14:solidFill>
          </w14:textFill>
        </w:rPr>
        <w:t>期，参训学员</w:t>
      </w:r>
      <w:r>
        <w:rPr>
          <w:rFonts w:hint="eastAsia" w:cs="Times New Roman"/>
          <w:color w:val="000000" w:themeColor="text1"/>
          <w:lang w:val="en-US" w:eastAsia="zh-CN"/>
          <w14:textFill>
            <w14:solidFill>
              <w14:schemeClr w14:val="tx1"/>
            </w14:solidFill>
          </w14:textFill>
        </w:rPr>
        <w:t>2443</w:t>
      </w:r>
      <w:r>
        <w:rPr>
          <w:rFonts w:hint="eastAsia" w:ascii="Times New Roman" w:hAnsi="Times New Roman" w:cs="Times New Roman"/>
          <w:color w:val="000000" w:themeColor="text1"/>
          <w:lang w:val="en-US" w:eastAsia="zh-CN"/>
          <w14:textFill>
            <w14:solidFill>
              <w14:schemeClr w14:val="tx1"/>
            </w14:solidFill>
          </w14:textFill>
        </w:rPr>
        <w:t>人次，学员满意度达99.</w:t>
      </w:r>
      <w:r>
        <w:rPr>
          <w:rFonts w:hint="eastAsia" w:cs="Times New Roman"/>
          <w:color w:val="000000" w:themeColor="text1"/>
          <w:lang w:val="en-US" w:eastAsia="zh-CN"/>
          <w14:textFill>
            <w14:solidFill>
              <w14:schemeClr w14:val="tx1"/>
            </w14:solidFill>
          </w14:textFill>
        </w:rPr>
        <w:t>32</w:t>
      </w:r>
      <w:r>
        <w:rPr>
          <w:rFonts w:hint="eastAsia" w:ascii="Times New Roman" w:hAnsi="Times New Roman" w:cs="Times New Roman"/>
          <w:color w:val="000000" w:themeColor="text1"/>
          <w:lang w:val="en-US" w:eastAsia="zh-CN"/>
          <w14:textFill>
            <w14:solidFill>
              <w14:schemeClr w14:val="tx1"/>
            </w14:solidFill>
          </w14:textFill>
        </w:rPr>
        <w:t>%，所有培训项目均按时完成，提升了党校对外培训知名度。</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（二）项目效益情况。</w:t>
      </w:r>
      <w:r>
        <w:rPr>
          <w:rFonts w:hint="eastAsia" w:ascii="Times New Roman" w:hAnsi="Times New Roman" w:cs="Times New Roman"/>
          <w:color w:val="000000" w:themeColor="text1"/>
          <w:lang w:val="en-US" w:eastAsia="zh-CN"/>
          <w14:textFill>
            <w14:solidFill>
              <w14:schemeClr w14:val="tx1"/>
            </w14:solidFill>
          </w14:textFill>
        </w:rPr>
        <w:t>一是在社会效益指标方面，承接来自市外多个培训班次学员培训，自贡经济、文化等方面特色和亮点在培训过程中得到展示和推介，自贡川南重要城市的形象得到进一步提升。二是培训按标准收取培训费用，按规定上交财政，在保质保量完成培训任务的同时，为地方非税收入作出了积极贡献。三是在满意度指标方面，参训学员及领导对党校对外合作培训工作也给予了肯定。</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40" w:lineRule="exact"/>
        <w:ind w:left="0" w:leftChars="0" w:right="0" w:firstLine="640" w:firstLineChars="200"/>
        <w:jc w:val="left"/>
        <w:textAlignment w:val="auto"/>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pPr>
      <w:r>
        <w:rPr>
          <w:rFonts w:hint="eastAsia" w:ascii="Times New Roman" w:hAnsi="Times New Roman" w:eastAsia="黑体" w:cs="Times New Roman"/>
          <w:color w:val="000000" w:themeColor="text1"/>
          <w:kern w:val="2"/>
          <w:sz w:val="32"/>
          <w:szCs w:val="24"/>
          <w:lang w:val="en-US" w:eastAsia="zh-CN" w:bidi="ar"/>
          <w14:textFill>
            <w14:solidFill>
              <w14:schemeClr w14:val="tx1"/>
            </w14:solidFill>
          </w14:textFill>
        </w:rPr>
        <w:t>四、问题及建议</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（一）存在的问题。</w:t>
      </w:r>
      <w:r>
        <w:rPr>
          <w:rFonts w:hint="eastAsia" w:ascii="Times New Roman" w:hAnsi="Times New Roman" w:cs="Times New Roman"/>
          <w:color w:val="000000" w:themeColor="text1"/>
          <w:lang w:val="en-US" w:eastAsia="zh-CN"/>
          <w14:textFill>
            <w14:solidFill>
              <w14:schemeClr w14:val="tx1"/>
            </w14:solidFill>
          </w14:textFill>
        </w:rPr>
        <w:t>当前现场教学点建设缺乏全市层面的统筹预约，其中经济、产业类现场教学点的预约工作存在较大难度。</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540" w:lineRule="exact"/>
        <w:ind w:left="0" w:leftChars="0" w:right="0" w:rightChars="0" w:firstLine="64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楷体_GB2312" w:cs="Times New Roman"/>
          <w:b w:val="0"/>
          <w:bCs/>
          <w:color w:val="000000" w:themeColor="text1"/>
          <w:kern w:val="2"/>
          <w:sz w:val="32"/>
          <w:szCs w:val="24"/>
          <w:lang w:val="en-US" w:eastAsia="zh-CN" w:bidi="ar"/>
          <w14:textFill>
            <w14:solidFill>
              <w14:schemeClr w14:val="tx1"/>
            </w14:solidFill>
          </w14:textFill>
        </w:rPr>
        <w:t>（二）相关建议。</w:t>
      </w:r>
      <w:r>
        <w:rPr>
          <w:rFonts w:hint="eastAsia" w:ascii="Times New Roman" w:hAnsi="Times New Roman" w:cs="Times New Roman"/>
          <w:color w:val="000000" w:themeColor="text1"/>
          <w:lang w:val="en-US" w:eastAsia="zh-CN"/>
          <w14:textFill>
            <w14:solidFill>
              <w14:schemeClr w14:val="tx1"/>
            </w14:solidFill>
          </w14:textFill>
        </w:rPr>
        <w:t>建议由市级层面统筹建立跨部门协调机制，整合经济、产业资源搭建统一管理平台，制定产业类教学点建设标准，通过荣誉激励等方式引导企业参与；探索“政校企”共建共享的产教融合长效机制，实现教学点规划布局、资源调度的全市一盘棋统筹推进。</w:t>
      </w: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pPr>
    </w:p>
    <w:p>
      <w:pPr>
        <w:pStyle w:val="28"/>
        <w:keepNext w:val="0"/>
        <w:keepLines w:val="0"/>
        <w:pageBreakBefore w:val="0"/>
        <w:kinsoku/>
        <w:wordWrap/>
        <w:overflowPunct/>
        <w:topLinePunct w:val="0"/>
        <w:autoSpaceDE/>
        <w:autoSpaceDN/>
        <w:bidi w:val="0"/>
        <w:spacing w:line="540" w:lineRule="exact"/>
        <w:jc w:val="center"/>
        <w:textAlignment w:val="auto"/>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eastAsia" w:ascii="Times New Roman" w:hAnsi="Times New Roman" w:eastAsia="方正小标宋简体" w:cs="方正小标宋简体"/>
          <w:color w:val="000000" w:themeColor="text1"/>
          <w:sz w:val="44"/>
          <w:szCs w:val="44"/>
          <w:lang w:eastAsia="zh-CN"/>
          <w14:textFill>
            <w14:solidFill>
              <w14:schemeClr w14:val="tx1"/>
            </w14:solidFill>
          </w14:textFill>
        </w:rPr>
        <w:t>市级部门</w:t>
      </w:r>
      <w:r>
        <w:rPr>
          <w:rFonts w:hint="eastAsia" w:ascii="Times New Roman" w:hAnsi="Times New Roman" w:eastAsia="方正小标宋简体" w:cs="方正小标宋简体"/>
          <w:color w:val="000000" w:themeColor="text1"/>
          <w:sz w:val="44"/>
          <w:szCs w:val="44"/>
          <w14:textFill>
            <w14:solidFill>
              <w14:schemeClr w14:val="tx1"/>
            </w14:solidFill>
          </w14:textFill>
        </w:rPr>
        <w:t>项目支出绩效自评报告</w:t>
      </w:r>
    </w:p>
    <w:p>
      <w:pPr>
        <w:keepNext w:val="0"/>
        <w:keepLines w:val="0"/>
        <w:widowControl w:val="0"/>
        <w:suppressLineNumbers w:val="0"/>
        <w:spacing w:before="0" w:beforeAutospacing="0" w:after="0" w:afterAutospacing="0" w:line="580" w:lineRule="exact"/>
        <w:ind w:left="0" w:right="0"/>
        <w:jc w:val="center"/>
        <w:rPr>
          <w:rFonts w:ascii="Times New Roman" w:hAnsi="Times New Roman" w:eastAsia="仿宋_GB2312" w:cs="Times New Roman"/>
          <w:color w:val="000000" w:themeColor="text1"/>
          <w:sz w:val="32"/>
          <w:lang w:val="en-US"/>
          <w14:textFill>
            <w14:solidFill>
              <w14:schemeClr w14:val="tx1"/>
            </w14:solidFill>
          </w14:textFill>
        </w:rPr>
      </w:pP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w:t>
      </w:r>
      <w:r>
        <w:rPr>
          <w:rFonts w:hint="eastAsia" w:ascii="Times New Roman" w:hAnsi="Times New Roman" w:eastAsia="仿宋_GB2312" w:cs="仿宋_GB2312"/>
          <w:color w:val="000000" w:themeColor="text1"/>
          <w:kern w:val="2"/>
          <w:sz w:val="32"/>
          <w:szCs w:val="24"/>
          <w:lang w:bidi="ar"/>
          <w14:textFill>
            <w14:solidFill>
              <w14:schemeClr w14:val="tx1"/>
            </w14:solidFill>
          </w14:textFill>
        </w:rPr>
        <w:t>市委党校后勤保障工作经费项目</w:t>
      </w:r>
      <w:r>
        <w:rPr>
          <w:rFonts w:hint="eastAsia" w:ascii="Times New Roman" w:hAnsi="Times New Roman" w:eastAsia="仿宋_GB2312" w:cs="仿宋_GB2312"/>
          <w:color w:val="000000" w:themeColor="text1"/>
          <w:kern w:val="2"/>
          <w:sz w:val="32"/>
          <w:szCs w:val="24"/>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sz w:val="32"/>
          <w:lang w:val="zh-CN" w:eastAsia="zh-CN"/>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一、</w:t>
      </w:r>
      <w:r>
        <w:rPr>
          <w:rFonts w:hint="default" w:ascii="Times New Roman" w:hAnsi="Times New Roman" w:eastAsia="黑体" w:cs="Times New Roman"/>
          <w:color w:val="000000" w:themeColor="text1"/>
          <w:kern w:val="2"/>
          <w:sz w:val="32"/>
          <w:szCs w:val="24"/>
          <w:lang w:val="zh-CN" w:eastAsia="zh-CN" w:bidi="ar"/>
          <w14:textFill>
            <w14:solidFill>
              <w14:schemeClr w14:val="tx1"/>
            </w14:solidFill>
          </w14:textFill>
        </w:rPr>
        <w:t>项目概况</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cs="仿宋_GB2312"/>
          <w:color w:val="000000" w:themeColor="text1"/>
          <w:lang w:val="zh-CN" w:eastAsia="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（一）项目资金申报及批复情况。</w:t>
      </w:r>
      <w:r>
        <w:rPr>
          <w:rFonts w:hint="eastAsia" w:ascii="Times New Roman" w:hAnsi="Times New Roman" w:cs="仿宋_GB2312"/>
          <w:color w:val="000000" w:themeColor="text1"/>
          <w:lang w:val="zh-CN" w:bidi="ar"/>
          <w14:textFill>
            <w14:solidFill>
              <w14:schemeClr w14:val="tx1"/>
            </w14:solidFill>
          </w14:textFill>
        </w:rPr>
        <w:t>该项目资金年初预算即申报数为</w:t>
      </w:r>
      <w:r>
        <w:rPr>
          <w:rFonts w:hint="eastAsia" w:ascii="Times New Roman" w:hAnsi="Times New Roman" w:cs="仿宋_GB2312"/>
          <w:color w:val="000000" w:themeColor="text1"/>
          <w:lang w:val="en-US" w:eastAsia="zh-CN" w:bidi="ar"/>
          <w14:textFill>
            <w14:solidFill>
              <w14:schemeClr w14:val="tx1"/>
            </w14:solidFill>
          </w14:textFill>
        </w:rPr>
        <w:t>88.55</w:t>
      </w:r>
      <w:r>
        <w:rPr>
          <w:rFonts w:hint="eastAsia" w:ascii="Times New Roman" w:hAnsi="Times New Roman" w:cs="仿宋_GB2312"/>
          <w:color w:val="000000" w:themeColor="text1"/>
          <w:lang w:val="zh-CN" w:bidi="ar"/>
          <w14:textFill>
            <w14:solidFill>
              <w14:schemeClr w14:val="tx1"/>
            </w14:solidFill>
          </w14:textFill>
        </w:rPr>
        <w:t>万元，全部为一般公共预算财政拨款资金。全年调整预算数为</w:t>
      </w:r>
      <w:r>
        <w:rPr>
          <w:rFonts w:hint="eastAsia" w:ascii="Times New Roman" w:hAnsi="Times New Roman" w:cs="仿宋_GB2312"/>
          <w:color w:val="000000" w:themeColor="text1"/>
          <w:lang w:val="en-US" w:eastAsia="zh-CN" w:bidi="ar"/>
          <w14:textFill>
            <w14:solidFill>
              <w14:schemeClr w14:val="tx1"/>
            </w14:solidFill>
          </w14:textFill>
        </w:rPr>
        <w:t>91.58</w:t>
      </w:r>
      <w:r>
        <w:rPr>
          <w:rFonts w:hint="eastAsia" w:ascii="Times New Roman" w:hAnsi="Times New Roman" w:cs="仿宋_GB2312"/>
          <w:color w:val="000000" w:themeColor="text1"/>
          <w:lang w:val="zh-CN" w:bidi="ar"/>
          <w14:textFill>
            <w14:solidFill>
              <w14:schemeClr w14:val="tx1"/>
            </w14:solidFill>
          </w14:textFill>
        </w:rPr>
        <w:t>万元，实际执行数为</w:t>
      </w:r>
      <w:r>
        <w:rPr>
          <w:rFonts w:hint="eastAsia" w:ascii="Times New Roman" w:hAnsi="Times New Roman" w:cs="仿宋_GB2312"/>
          <w:color w:val="000000" w:themeColor="text1"/>
          <w:lang w:val="en-US" w:eastAsia="zh-CN" w:bidi="ar"/>
          <w14:textFill>
            <w14:solidFill>
              <w14:schemeClr w14:val="tx1"/>
            </w14:solidFill>
          </w14:textFill>
        </w:rPr>
        <w:t>91.58</w:t>
      </w:r>
      <w:r>
        <w:rPr>
          <w:rFonts w:hint="eastAsia" w:ascii="Times New Roman" w:hAnsi="Times New Roman" w:cs="仿宋_GB2312"/>
          <w:color w:val="000000" w:themeColor="text1"/>
          <w:lang w:val="zh-CN" w:bidi="ar"/>
          <w14:textFill>
            <w14:solidFill>
              <w14:schemeClr w14:val="tx1"/>
            </w14:solidFill>
          </w14:textFill>
        </w:rPr>
        <w:t>万元，年中预算调整主要是单位内部调剂其他项目经费到该项目使用，符合资金管理办法等相关规定。</w:t>
      </w:r>
    </w:p>
    <w:p>
      <w:pPr>
        <w:adjustRightInd w:val="0"/>
        <w:snapToGrid w:val="0"/>
        <w:spacing w:line="592" w:lineRule="exact"/>
        <w:ind w:firstLine="720"/>
        <w:rPr>
          <w:rFonts w:hint="default" w:ascii="Times New Roman" w:hAnsi="Times New Roman" w:cs="仿宋_GB2312"/>
          <w:color w:val="000000" w:themeColor="text1"/>
          <w:lang w:val="en-US" w:eastAsia="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（二）项目绩效目标。</w:t>
      </w:r>
      <w:r>
        <w:rPr>
          <w:rFonts w:hint="eastAsia" w:ascii="Times New Roman" w:hAnsi="Times New Roman" w:cs="仿宋_GB2312"/>
          <w:color w:val="000000" w:themeColor="text1"/>
          <w:lang w:val="zh-CN" w:bidi="ar"/>
          <w14:textFill>
            <w14:solidFill>
              <w14:schemeClr w14:val="tx1"/>
            </w14:solidFill>
          </w14:textFill>
        </w:rPr>
        <w:t>该项目主要是通过社会化购买物业服务，确保校区办公区域和教学公共区域的环境保洁、秩序管理、会议服务（会场布置摆放、茶水服务、卫生保洁等服务）、水电、绿化等工作的高效运行，同时用于校园维修维护等。</w:t>
      </w:r>
      <w:r>
        <w:rPr>
          <w:rFonts w:hint="eastAsia" w:ascii="Times New Roman" w:hAnsi="Times New Roman" w:cs="仿宋_GB2312"/>
          <w:color w:val="000000" w:themeColor="text1"/>
          <w:lang w:val="en-US" w:eastAsia="zh-CN" w:bidi="ar"/>
          <w14:textFill>
            <w14:solidFill>
              <w14:schemeClr w14:val="tx1"/>
            </w14:solidFill>
          </w14:textFill>
        </w:rPr>
        <w:t>2025年，设置了配置专业物业服务人员数量、校园维修维护次数、每季度物业服务评分考核优秀率等产出指标，设置了受益学员数量、物业服务时限等效益指标。</w:t>
      </w:r>
    </w:p>
    <w:p>
      <w:pPr>
        <w:adjustRightInd w:val="0"/>
        <w:snapToGrid w:val="0"/>
        <w:spacing w:line="560" w:lineRule="exact"/>
        <w:ind w:firstLine="720"/>
        <w:rPr>
          <w:rFonts w:hint="eastAsia" w:ascii="Times New Roman" w:hAnsi="Times New Roman" w:cs="仿宋_GB2312"/>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（三）项目资金申报相符性。</w:t>
      </w:r>
      <w:r>
        <w:rPr>
          <w:rFonts w:hint="eastAsia" w:ascii="Times New Roman" w:hAnsi="Times New Roman" w:cs="仿宋_GB2312"/>
          <w:color w:val="000000" w:themeColor="text1"/>
          <w:lang w:bidi="ar"/>
          <w14:textFill>
            <w14:solidFill>
              <w14:schemeClr w14:val="tx1"/>
            </w14:solidFill>
          </w14:textFill>
        </w:rPr>
        <w:t>由于</w:t>
      </w:r>
      <w:r>
        <w:rPr>
          <w:rFonts w:hint="eastAsia" w:ascii="Times New Roman" w:hAnsi="Times New Roman" w:cs="仿宋_GB2312"/>
          <w:color w:val="000000" w:themeColor="text1"/>
          <w:lang w:val="zh-CN" w:bidi="ar"/>
          <w14:textFill>
            <w14:solidFill>
              <w14:schemeClr w14:val="tx1"/>
            </w14:solidFill>
          </w14:textFill>
        </w:rPr>
        <w:t>培训班次及其培训规模较大，我校结合教职工和学员的需求进行了资金申报，申报目标切实可行。在实际执行过程中，涉及后勤运行维护的各项服务引入，均经过校院委会审议，落实过程中，严格遵照相关标准执行，未收到教职工和学员的投诉，始终确保项目申报内容与具体实施内容相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sz w:val="32"/>
          <w:lang w:val="en-US"/>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二、项目实施及管理情况</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楷体_GB2312" w:cs="Times New Roman"/>
          <w:b w:val="0"/>
          <w:bCs w:val="0"/>
          <w:color w:val="000000" w:themeColor="text1"/>
          <w:sz w:val="32"/>
          <w:lang w:val="zh-CN" w:eastAsia="zh-CN"/>
          <w14:textFill>
            <w14:solidFill>
              <w14:schemeClr w14:val="tx1"/>
            </w14:solidFill>
          </w14:textFill>
        </w:rPr>
      </w:pPr>
      <w:r>
        <w:rPr>
          <w:rFonts w:hint="default" w:ascii="Times New Roman" w:hAnsi="Times New Roman" w:eastAsia="楷体_GB2312" w:cs="Times New Roman"/>
          <w:b w:val="0"/>
          <w:bCs w:val="0"/>
          <w:color w:val="000000" w:themeColor="text1"/>
          <w:kern w:val="2"/>
          <w:sz w:val="32"/>
          <w:szCs w:val="24"/>
          <w:lang w:val="zh-CN" w:eastAsia="zh-CN" w:bidi="ar"/>
          <w14:textFill>
            <w14:solidFill>
              <w14:schemeClr w14:val="tx1"/>
            </w14:solidFill>
          </w14:textFill>
        </w:rPr>
        <w:t>（一）资金计划、到位及使用情况。</w:t>
      </w:r>
    </w:p>
    <w:p>
      <w:pPr>
        <w:adjustRightInd w:val="0"/>
        <w:snapToGrid w:val="0"/>
        <w:spacing w:line="560" w:lineRule="exact"/>
        <w:ind w:firstLine="720"/>
        <w:rPr>
          <w:rFonts w:hint="eastAsia" w:ascii="Times New Roman" w:hAnsi="Times New Roman" w:cs="仿宋_GB2312"/>
          <w:color w:val="000000" w:themeColor="text1"/>
          <w:lang w:bidi="ar"/>
          <w14:textFill>
            <w14:solidFill>
              <w14:schemeClr w14:val="tx1"/>
            </w14:solidFill>
          </w14:textFill>
        </w:rPr>
      </w:pPr>
      <w:r>
        <w:rPr>
          <w:rFonts w:hint="default" w:ascii="Times New Roman" w:hAnsi="Times New Roman" w:eastAsia="楷体_GB2312" w:cs="Times New Roman"/>
          <w:color w:val="000000" w:themeColor="text1"/>
          <w:kern w:val="2"/>
          <w:sz w:val="32"/>
          <w:szCs w:val="24"/>
          <w:lang w:val="zh-CN" w:eastAsia="zh-CN" w:bidi="ar"/>
          <w14:textFill>
            <w14:solidFill>
              <w14:schemeClr w14:val="tx1"/>
            </w14:solidFill>
          </w14:textFill>
        </w:rPr>
        <w:t>1．资金计划及到位。</w:t>
      </w:r>
      <w:r>
        <w:rPr>
          <w:rFonts w:hint="eastAsia" w:ascii="Times New Roman" w:hAnsi="Times New Roman" w:cs="仿宋_GB2312"/>
          <w:color w:val="000000" w:themeColor="text1"/>
          <w:lang w:val="zh-CN" w:bidi="ar"/>
          <w14:textFill>
            <w14:solidFill>
              <w14:schemeClr w14:val="tx1"/>
            </w14:solidFill>
          </w14:textFill>
        </w:rPr>
        <w:t>该项目</w:t>
      </w:r>
      <w:r>
        <w:rPr>
          <w:rFonts w:hint="eastAsia" w:ascii="Times New Roman" w:hAnsi="Times New Roman" w:cs="仿宋_GB2312"/>
          <w:color w:val="000000" w:themeColor="text1"/>
          <w:lang w:bidi="ar"/>
          <w14:textFill>
            <w14:solidFill>
              <w14:schemeClr w14:val="tx1"/>
            </w14:solidFill>
          </w14:textFill>
        </w:rPr>
        <w:t>资金年初预算</w:t>
      </w:r>
      <w:r>
        <w:rPr>
          <w:rFonts w:hint="eastAsia" w:ascii="Times New Roman" w:hAnsi="Times New Roman" w:cs="仿宋_GB2312"/>
          <w:color w:val="000000" w:themeColor="text1"/>
          <w:lang w:val="en-US" w:eastAsia="zh-CN" w:bidi="ar"/>
          <w14:textFill>
            <w14:solidFill>
              <w14:schemeClr w14:val="tx1"/>
            </w14:solidFill>
          </w14:textFill>
        </w:rPr>
        <w:t>88.55</w:t>
      </w:r>
      <w:r>
        <w:rPr>
          <w:rFonts w:hint="eastAsia" w:ascii="Times New Roman" w:hAnsi="Times New Roman" w:cs="仿宋_GB2312"/>
          <w:color w:val="000000" w:themeColor="text1"/>
          <w:lang w:bidi="ar"/>
          <w14:textFill>
            <w14:solidFill>
              <w14:schemeClr w14:val="tx1"/>
            </w14:solidFill>
          </w14:textFill>
        </w:rPr>
        <w:t>万元，全部为一般公共预算财政拨款资金。全年调整预算数为</w:t>
      </w:r>
      <w:r>
        <w:rPr>
          <w:rFonts w:hint="eastAsia" w:ascii="Times New Roman" w:hAnsi="Times New Roman" w:cs="仿宋_GB2312"/>
          <w:color w:val="000000" w:themeColor="text1"/>
          <w:lang w:val="en-US" w:eastAsia="zh-CN" w:bidi="ar"/>
          <w14:textFill>
            <w14:solidFill>
              <w14:schemeClr w14:val="tx1"/>
            </w14:solidFill>
          </w14:textFill>
        </w:rPr>
        <w:t>91.58</w:t>
      </w:r>
      <w:r>
        <w:rPr>
          <w:rFonts w:hint="eastAsia" w:ascii="Times New Roman" w:hAnsi="Times New Roman" w:cs="仿宋_GB2312"/>
          <w:color w:val="000000" w:themeColor="text1"/>
          <w:lang w:bidi="ar"/>
          <w14:textFill>
            <w14:solidFill>
              <w14:schemeClr w14:val="tx1"/>
            </w14:solidFill>
          </w14:textFill>
        </w:rPr>
        <w:t>万元，资金到位及时。</w:t>
      </w:r>
    </w:p>
    <w:p>
      <w:pPr>
        <w:adjustRightInd w:val="0"/>
        <w:snapToGrid w:val="0"/>
        <w:spacing w:line="580" w:lineRule="exact"/>
        <w:ind w:firstLine="720"/>
        <w:rPr>
          <w:rFonts w:hint="eastAsia" w:ascii="Times New Roman" w:hAnsi="Times New Roman" w:cs="仿宋_GB2312"/>
          <w:color w:val="000000" w:themeColor="text1"/>
          <w:lang w:bidi="ar"/>
          <w14:textFill>
            <w14:solidFill>
              <w14:schemeClr w14:val="tx1"/>
            </w14:solidFill>
          </w14:textFill>
        </w:rPr>
      </w:pPr>
      <w:r>
        <w:rPr>
          <w:rFonts w:hint="default" w:ascii="Times New Roman" w:hAnsi="Times New Roman" w:eastAsia="楷体_GB2312" w:cs="Times New Roman"/>
          <w:color w:val="000000" w:themeColor="text1"/>
          <w:kern w:val="2"/>
          <w:sz w:val="32"/>
          <w:szCs w:val="24"/>
          <w:lang w:val="zh-CN" w:eastAsia="zh-CN" w:bidi="ar"/>
          <w14:textFill>
            <w14:solidFill>
              <w14:schemeClr w14:val="tx1"/>
            </w14:solidFill>
          </w14:textFill>
        </w:rPr>
        <w:t>2．资金使用。</w:t>
      </w:r>
      <w:r>
        <w:rPr>
          <w:rFonts w:hint="eastAsia" w:ascii="Times New Roman" w:hAnsi="Times New Roman" w:cs="仿宋_GB2312"/>
          <w:color w:val="000000" w:themeColor="text1"/>
          <w:lang w:bidi="ar"/>
          <w14:textFill>
            <w14:solidFill>
              <w14:schemeClr w14:val="tx1"/>
            </w14:solidFill>
          </w14:textFill>
        </w:rPr>
        <w:t>本</w:t>
      </w:r>
      <w:r>
        <w:rPr>
          <w:rFonts w:hint="eastAsia" w:ascii="Times New Roman" w:hAnsi="Times New Roman" w:cs="仿宋_GB2312"/>
          <w:color w:val="000000" w:themeColor="text1"/>
          <w:lang w:val="zh-CN" w:bidi="ar"/>
          <w14:textFill>
            <w14:solidFill>
              <w14:schemeClr w14:val="tx1"/>
            </w14:solidFill>
          </w14:textFill>
        </w:rPr>
        <w:t>项目严格按照资金支付规定和合同的履约标准进行支付，</w:t>
      </w:r>
      <w:r>
        <w:rPr>
          <w:rFonts w:hint="eastAsia" w:ascii="Times New Roman" w:hAnsi="Times New Roman" w:cs="仿宋_GB2312"/>
          <w:color w:val="000000" w:themeColor="text1"/>
          <w:lang w:bidi="ar"/>
          <w14:textFill>
            <w14:solidFill>
              <w14:schemeClr w14:val="tx1"/>
            </w14:solidFill>
          </w14:textFill>
        </w:rPr>
        <w:t>其中物业管理、设施设备维护等服务的合同签订均请示校院委会，并与相应的供应商签订合同，相关明细和发票齐全</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cs="仿宋_GB2312"/>
          <w:color w:val="000000" w:themeColor="text1"/>
          <w:lang w:bidi="ar"/>
          <w14:textFill>
            <w14:solidFill>
              <w14:schemeClr w14:val="tx1"/>
            </w14:solidFill>
          </w14:textFill>
        </w:rPr>
        <w:t>严格按合同要求进行资金支付</w:t>
      </w:r>
      <w:r>
        <w:rPr>
          <w:rFonts w:hint="eastAsia" w:ascii="Times New Roman" w:hAnsi="Times New Roman" w:cs="仿宋_GB2312"/>
          <w:color w:val="000000" w:themeColor="text1"/>
          <w:lang w:val="zh-CN" w:bidi="ar"/>
          <w14:textFill>
            <w14:solidFill>
              <w14:schemeClr w14:val="tx1"/>
            </w14:solidFill>
          </w14:textFill>
        </w:rPr>
        <w:t>。</w:t>
      </w:r>
      <w:r>
        <w:rPr>
          <w:rFonts w:hint="eastAsia" w:ascii="Times New Roman" w:hAnsi="Times New Roman" w:cs="仿宋_GB2312"/>
          <w:color w:val="000000" w:themeColor="text1"/>
          <w:lang w:val="en-US" w:eastAsia="zh-CN" w:bidi="ar"/>
          <w14:textFill>
            <w14:solidFill>
              <w14:schemeClr w14:val="tx1"/>
            </w14:solidFill>
          </w14:textFill>
        </w:rPr>
        <w:t>2025</w:t>
      </w:r>
      <w:r>
        <w:rPr>
          <w:rFonts w:hint="eastAsia" w:ascii="Times New Roman" w:hAnsi="Times New Roman" w:cs="仿宋_GB2312"/>
          <w:color w:val="000000" w:themeColor="text1"/>
          <w:lang w:bidi="ar"/>
          <w14:textFill>
            <w14:solidFill>
              <w14:schemeClr w14:val="tx1"/>
            </w14:solidFill>
          </w14:textFill>
        </w:rPr>
        <w:t>年，市委党校后勤保障工作经费项目共计支出</w:t>
      </w:r>
      <w:r>
        <w:rPr>
          <w:rFonts w:hint="eastAsia" w:ascii="Times New Roman" w:hAnsi="Times New Roman" w:cs="仿宋_GB2312"/>
          <w:color w:val="000000" w:themeColor="text1"/>
          <w:lang w:val="en-US" w:eastAsia="zh-CN" w:bidi="ar"/>
          <w14:textFill>
            <w14:solidFill>
              <w14:schemeClr w14:val="tx1"/>
            </w14:solidFill>
          </w14:textFill>
        </w:rPr>
        <w:t>91.58</w:t>
      </w:r>
      <w:r>
        <w:rPr>
          <w:rFonts w:hint="eastAsia" w:ascii="Times New Roman" w:hAnsi="Times New Roman" w:cs="仿宋_GB2312"/>
          <w:color w:val="000000" w:themeColor="text1"/>
          <w:lang w:bidi="ar"/>
          <w14:textFill>
            <w14:solidFill>
              <w14:schemeClr w14:val="tx1"/>
            </w14:solidFill>
          </w14:textFill>
        </w:rPr>
        <w:t>万元，支付依据合规合法，与预算相符。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eastAsia" w:ascii="Times New Roman" w:hAnsi="Times New Roman" w:cs="仿宋_GB2312"/>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（二）项目财务管理情况。</w:t>
      </w:r>
      <w:r>
        <w:rPr>
          <w:rFonts w:hint="eastAsia" w:ascii="Times New Roman" w:hAnsi="Times New Roman" w:cs="仿宋_GB2312"/>
          <w:color w:val="000000" w:themeColor="text1"/>
          <w:lang w:val="zh-CN" w:bidi="ar"/>
          <w14:textFill>
            <w14:solidFill>
              <w14:schemeClr w14:val="tx1"/>
            </w14:solidFill>
          </w14:textFill>
        </w:rPr>
        <w:t>该项目严格执行我校《物资采购管理制度》《中共自贡市委党校内部控制手册》《合同管理暂行办法》等制度规范，涉及服务类的事项，都经过校院委会审议，</w:t>
      </w:r>
      <w:r>
        <w:rPr>
          <w:rFonts w:hint="eastAsia" w:ascii="Times New Roman" w:hAnsi="Times New Roman" w:cs="仿宋_GB2312"/>
          <w:color w:val="000000" w:themeColor="text1"/>
          <w:lang w:bidi="ar"/>
          <w14:textFill>
            <w14:solidFill>
              <w14:schemeClr w14:val="tx1"/>
            </w14:solidFill>
          </w14:textFill>
        </w:rPr>
        <w:t>并由后勤科负责</w:t>
      </w:r>
      <w:r>
        <w:rPr>
          <w:rFonts w:hint="eastAsia" w:ascii="Times New Roman" w:hAnsi="Times New Roman" w:cs="仿宋_GB2312"/>
          <w:color w:val="000000" w:themeColor="text1"/>
          <w:lang w:val="zh-CN" w:bidi="ar"/>
          <w14:textFill>
            <w14:solidFill>
              <w14:schemeClr w14:val="tx1"/>
            </w14:solidFill>
          </w14:textFill>
        </w:rPr>
        <w:t>对相应的设施设备和服务进行巡查。在资金支付环节，始终认真对照项目资金管理办法，专款专用，评价项目严格执行财务管理制度，处理及时，会计核算标准。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eastAsia" w:ascii="Times New Roman" w:hAnsi="Times New Roman" w:cs="仿宋_GB2312"/>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（三）项目组织实施情况。</w:t>
      </w:r>
      <w:r>
        <w:rPr>
          <w:rFonts w:hint="eastAsia" w:ascii="Times New Roman" w:hAnsi="Times New Roman" w:cs="仿宋_GB2312"/>
          <w:color w:val="000000" w:themeColor="text1"/>
          <w:lang w:val="zh-CN" w:bidi="ar"/>
          <w14:textFill>
            <w14:solidFill>
              <w14:schemeClr w14:val="tx1"/>
            </w14:solidFill>
          </w14:textFill>
        </w:rPr>
        <w:t>该项目由财务科负责资金申报，后勤科组织实施相应的采购。我校经过校院委</w:t>
      </w:r>
      <w:r>
        <w:rPr>
          <w:rFonts w:hint="eastAsia" w:ascii="Times New Roman" w:hAnsi="Times New Roman" w:cs="仿宋_GB2312"/>
          <w:color w:val="000000" w:themeColor="text1"/>
          <w:lang w:val="zh-CN" w:eastAsia="zh-CN" w:bidi="ar"/>
          <w14:textFill>
            <w14:solidFill>
              <w14:schemeClr w14:val="tx1"/>
            </w14:solidFill>
          </w14:textFill>
        </w:rPr>
        <w:t>会</w:t>
      </w:r>
      <w:r>
        <w:rPr>
          <w:rFonts w:hint="eastAsia" w:ascii="Times New Roman" w:hAnsi="Times New Roman" w:cs="仿宋_GB2312"/>
          <w:color w:val="000000" w:themeColor="text1"/>
          <w:lang w:val="zh-CN" w:bidi="ar"/>
          <w14:textFill>
            <w14:solidFill>
              <w14:schemeClr w14:val="tx1"/>
            </w14:solidFill>
          </w14:textFill>
        </w:rPr>
        <w:t>审议，社会化购买了</w:t>
      </w:r>
      <w:r>
        <w:rPr>
          <w:rFonts w:hint="eastAsia" w:ascii="Times New Roman" w:hAnsi="Times New Roman" w:cs="仿宋_GB2312"/>
          <w:color w:val="000000" w:themeColor="text1"/>
          <w:lang w:val="zh-CN" w:eastAsia="zh-CN" w:bidi="ar"/>
          <w14:textFill>
            <w14:solidFill>
              <w14:schemeClr w14:val="tx1"/>
            </w14:solidFill>
          </w14:textFill>
        </w:rPr>
        <w:t>物业管理</w:t>
      </w:r>
      <w:r>
        <w:rPr>
          <w:rFonts w:hint="eastAsia" w:ascii="Times New Roman" w:hAnsi="Times New Roman" w:cs="仿宋_GB2312"/>
          <w:color w:val="000000" w:themeColor="text1"/>
          <w:lang w:val="zh-CN" w:bidi="ar"/>
          <w14:textFill>
            <w14:solidFill>
              <w14:schemeClr w14:val="tx1"/>
            </w14:solidFill>
          </w14:textFill>
        </w:rPr>
        <w:t>服务</w:t>
      </w:r>
      <w:r>
        <w:rPr>
          <w:rFonts w:hint="eastAsia" w:ascii="Times New Roman" w:hAnsi="Times New Roman" w:cs="仿宋_GB2312"/>
          <w:color w:val="000000" w:themeColor="text1"/>
          <w:lang w:val="zh-CN" w:eastAsia="zh-CN" w:bidi="ar"/>
          <w14:textFill>
            <w14:solidFill>
              <w14:schemeClr w14:val="tx1"/>
            </w14:solidFill>
          </w14:textFill>
        </w:rPr>
        <w:t>、</w:t>
      </w:r>
      <w:r>
        <w:rPr>
          <w:rFonts w:hint="eastAsia" w:ascii="Times New Roman" w:hAnsi="Times New Roman" w:cs="仿宋_GB2312"/>
          <w:color w:val="000000" w:themeColor="text1"/>
          <w:lang w:val="zh-CN" w:bidi="ar"/>
          <w14:textFill>
            <w14:solidFill>
              <w14:schemeClr w14:val="tx1"/>
            </w14:solidFill>
          </w14:textFill>
        </w:rPr>
        <w:t>电梯维修维护等，建立了相应的台账，如电梯安全检查台账，并按合同要求进行资金支付，确保学校正常运转。我校不定期对各项服务工作进行检查，根据实际服务情况和收据凭证按时支付服务费，确保账实相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仿宋_GB2312" w:cs="Times New Roman"/>
          <w:color w:val="000000" w:themeColor="text1"/>
          <w:sz w:val="32"/>
          <w:lang w:val="zh-CN" w:eastAsia="zh-CN"/>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三、项目绩效情况</w:t>
      </w:r>
      <w:r>
        <w:rPr>
          <w:rFonts w:hint="default" w:ascii="Times New Roman" w:hAnsi="Times New Roman" w:eastAsia="仿宋_GB2312" w:cs="Times New Roman"/>
          <w:color w:val="000000" w:themeColor="text1"/>
          <w:kern w:val="2"/>
          <w:sz w:val="32"/>
          <w:szCs w:val="24"/>
          <w:lang w:val="zh-CN" w:eastAsia="zh-CN" w:bidi="ar"/>
          <w14:textFill>
            <w14:solidFill>
              <w14:schemeClr w14:val="tx1"/>
            </w14:solidFill>
          </w14:textFill>
        </w:rPr>
        <w:tab/>
      </w:r>
    </w:p>
    <w:p>
      <w:pPr>
        <w:adjustRightInd w:val="0"/>
        <w:snapToGrid w:val="0"/>
        <w:spacing w:line="592" w:lineRule="exact"/>
        <w:ind w:firstLine="720"/>
        <w:rPr>
          <w:rFonts w:hint="eastAsia" w:ascii="Times New Roman" w:hAnsi="Times New Roman" w:cs="仿宋_GB2312"/>
          <w:color w:val="000000" w:themeColor="text1"/>
          <w:lang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（一）项目完成情况。</w:t>
      </w:r>
      <w:r>
        <w:rPr>
          <w:rFonts w:hint="eastAsia" w:ascii="Times New Roman" w:hAnsi="Times New Roman" w:cs="仿宋_GB2312"/>
          <w:color w:val="000000" w:themeColor="text1"/>
          <w:lang w:val="zh-CN" w:bidi="ar"/>
          <w14:textFill>
            <w14:solidFill>
              <w14:schemeClr w14:val="tx1"/>
            </w14:solidFill>
          </w14:textFill>
        </w:rPr>
        <w:t>本项目所有绩效指标基本完成。</w:t>
      </w:r>
      <w:r>
        <w:rPr>
          <w:rFonts w:hint="eastAsia" w:ascii="Times New Roman" w:hAnsi="Times New Roman" w:cs="仿宋_GB2312"/>
          <w:color w:val="000000" w:themeColor="text1"/>
          <w:lang w:val="en-US" w:eastAsia="zh-CN" w:bidi="ar"/>
          <w14:textFill>
            <w14:solidFill>
              <w14:schemeClr w14:val="tx1"/>
            </w14:solidFill>
          </w14:textFill>
        </w:rPr>
        <w:t>配置专业物业服务人员23人，校园维修维护次数20次，每季度物业服务评分考核优秀率99%，物业服务时限12个月，</w:t>
      </w:r>
      <w:r>
        <w:rPr>
          <w:rFonts w:hint="eastAsia" w:ascii="Times New Roman" w:hAnsi="Times New Roman" w:cs="仿宋_GB2312"/>
          <w:color w:val="000000" w:themeColor="text1"/>
          <w:lang w:bidi="ar"/>
          <w14:textFill>
            <w14:solidFill>
              <w14:schemeClr w14:val="tx1"/>
            </w14:solidFill>
          </w14:textFill>
        </w:rPr>
        <w:t>确保了学校正常、高效运转</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cs="仿宋_GB2312"/>
          <w:color w:val="000000" w:themeColor="text1"/>
          <w:lang w:val="en-US" w:eastAsia="zh-CN" w:bidi="ar"/>
          <w14:textFill>
            <w14:solidFill>
              <w14:schemeClr w14:val="tx1"/>
            </w14:solidFill>
          </w14:textFill>
        </w:rPr>
        <w:t>促进了党校培训工作。</w:t>
      </w:r>
    </w:p>
    <w:p>
      <w:pPr>
        <w:adjustRightInd w:val="0"/>
        <w:snapToGrid w:val="0"/>
        <w:spacing w:line="580" w:lineRule="exact"/>
        <w:ind w:firstLine="720"/>
        <w:rPr>
          <w:rFonts w:hint="eastAsia" w:ascii="Times New Roman" w:hAnsi="Times New Roman" w:cs="仿宋_GB2312"/>
          <w:color w:val="000000" w:themeColor="text1"/>
          <w:lang w:val="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（二）项目效益情况。</w:t>
      </w:r>
      <w:r>
        <w:rPr>
          <w:rFonts w:hint="eastAsia" w:ascii="Times New Roman" w:hAnsi="Times New Roman" w:cs="仿宋_GB2312"/>
          <w:color w:val="000000" w:themeColor="text1"/>
          <w:lang w:bidi="ar"/>
          <w14:textFill>
            <w14:solidFill>
              <w14:schemeClr w14:val="tx1"/>
            </w14:solidFill>
          </w14:textFill>
        </w:rPr>
        <w:t>后勤服务保障到位</w:t>
      </w:r>
      <w:r>
        <w:rPr>
          <w:rFonts w:hint="eastAsia" w:ascii="Times New Roman" w:hAnsi="Times New Roman" w:cs="仿宋_GB2312"/>
          <w:color w:val="000000" w:themeColor="text1"/>
          <w:lang w:eastAsia="zh-CN" w:bidi="ar"/>
          <w14:textFill>
            <w14:solidFill>
              <w14:schemeClr w14:val="tx1"/>
            </w14:solidFill>
          </w14:textFill>
        </w:rPr>
        <w:t>，</w:t>
      </w:r>
      <w:r>
        <w:rPr>
          <w:rFonts w:hint="eastAsia" w:ascii="Times New Roman" w:hAnsi="Times New Roman" w:cs="仿宋_GB2312"/>
          <w:color w:val="000000" w:themeColor="text1"/>
          <w:lang w:val="zh-CN" w:eastAsia="zh-CN" w:bidi="ar"/>
          <w14:textFill>
            <w14:solidFill>
              <w14:schemeClr w14:val="tx1"/>
            </w14:solidFill>
          </w14:textFill>
        </w:rPr>
        <w:t>受益学员数量达</w:t>
      </w:r>
      <w:r>
        <w:rPr>
          <w:rFonts w:hint="eastAsia" w:ascii="Times New Roman" w:hAnsi="Times New Roman" w:cs="仿宋_GB2312"/>
          <w:color w:val="000000" w:themeColor="text1"/>
          <w:lang w:val="en-US" w:eastAsia="zh-CN" w:bidi="ar"/>
          <w14:textFill>
            <w14:solidFill>
              <w14:schemeClr w14:val="tx1"/>
            </w14:solidFill>
          </w14:textFill>
        </w:rPr>
        <w:t>4117人次。</w:t>
      </w:r>
      <w:r>
        <w:rPr>
          <w:rFonts w:hint="eastAsia" w:ascii="Times New Roman" w:hAnsi="Times New Roman" w:cs="仿宋_GB2312"/>
          <w:color w:val="000000" w:themeColor="text1"/>
          <w:lang w:bidi="ar"/>
          <w14:textFill>
            <w14:solidFill>
              <w14:schemeClr w14:val="tx1"/>
            </w14:solidFill>
          </w14:textFill>
        </w:rPr>
        <w:t>设施设备的有效运转，确保了学校正常、高效运转。未出现教职工投诉现象，教职工和学员满意度较高。</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40" w:lineRule="exact"/>
        <w:ind w:left="0" w:right="0" w:firstLine="720"/>
        <w:jc w:val="both"/>
        <w:textAlignment w:val="auto"/>
        <w:rPr>
          <w:rFonts w:hint="default" w:ascii="Times New Roman" w:hAnsi="Times New Roman" w:eastAsia="黑体" w:cs="Times New Roman"/>
          <w:color w:val="000000" w:themeColor="text1"/>
          <w:sz w:val="32"/>
          <w:lang w:val="en-US"/>
          <w14:textFill>
            <w14:solidFill>
              <w14:schemeClr w14:val="tx1"/>
            </w14:solidFill>
          </w14:textFill>
        </w:rPr>
      </w:pPr>
      <w:r>
        <w:rPr>
          <w:rFonts w:hint="default" w:ascii="Times New Roman" w:hAnsi="Times New Roman" w:eastAsia="黑体" w:cs="Times New Roman"/>
          <w:color w:val="000000" w:themeColor="text1"/>
          <w:kern w:val="2"/>
          <w:sz w:val="32"/>
          <w:szCs w:val="24"/>
          <w:lang w:val="en-US" w:eastAsia="zh-CN" w:bidi="ar"/>
          <w14:textFill>
            <w14:solidFill>
              <w14:schemeClr w14:val="tx1"/>
            </w14:solidFill>
          </w14:textFill>
        </w:rPr>
        <w:t>四、问题及建议</w:t>
      </w:r>
    </w:p>
    <w:p>
      <w:pPr>
        <w:adjustRightInd w:val="0"/>
        <w:snapToGrid w:val="0"/>
        <w:spacing w:line="580" w:lineRule="exact"/>
        <w:ind w:firstLine="720"/>
        <w:rPr>
          <w:rFonts w:hint="default" w:ascii="Times New Roman" w:hAnsi="Times New Roman" w:cs="仿宋_GB2312"/>
          <w:color w:val="000000" w:themeColor="text1"/>
          <w:lang w:val="zh-CN" w:eastAsia="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（一）存在的问题。</w:t>
      </w:r>
      <w:r>
        <w:rPr>
          <w:rFonts w:hint="eastAsia" w:ascii="Times New Roman" w:hAnsi="Times New Roman" w:cs="仿宋_GB2312"/>
          <w:color w:val="000000" w:themeColor="text1"/>
          <w:lang w:val="zh-CN" w:bidi="ar"/>
          <w14:textFill>
            <w14:solidFill>
              <w14:schemeClr w14:val="tx1"/>
            </w14:solidFill>
          </w14:textFill>
        </w:rPr>
        <w:t>一是认识教育有待强化。对于相关政策、文件的学习仍需提升，对相关人员的教育培训不够，对相应政策的学习不够深入。因此，还需加强对后勤保障及时性、廉洁性的重视和认识，避免出现对服务质效不高、廉洁意识不强的人员。二是制度保障有待完善。一套流程从申报到执行到办结的标准亟待细化，确保做到高效、合规地提供服务保障。</w:t>
      </w:r>
    </w:p>
    <w:p>
      <w:pPr>
        <w:adjustRightInd w:val="0"/>
        <w:snapToGrid w:val="0"/>
        <w:spacing w:line="580" w:lineRule="exact"/>
        <w:ind w:firstLine="720"/>
        <w:rPr>
          <w:rFonts w:hint="default" w:ascii="Times New Roman" w:hAnsi="Times New Roman" w:cs="仿宋_GB2312"/>
          <w:color w:val="000000" w:themeColor="text1"/>
          <w:lang w:val="en-US" w:eastAsia="zh-CN" w:bidi="ar"/>
          <w14:textFill>
            <w14:solidFill>
              <w14:schemeClr w14:val="tx1"/>
            </w14:solidFill>
          </w14:textFill>
        </w:rPr>
      </w:pPr>
      <w:r>
        <w:rPr>
          <w:rFonts w:hint="default" w:ascii="Times New Roman" w:hAnsi="Times New Roman" w:eastAsia="楷体_GB2312" w:cs="Times New Roman"/>
          <w:b w:val="0"/>
          <w:bCs/>
          <w:color w:val="000000" w:themeColor="text1"/>
          <w:kern w:val="2"/>
          <w:sz w:val="32"/>
          <w:szCs w:val="24"/>
          <w:lang w:val="zh-CN" w:eastAsia="zh-CN" w:bidi="ar"/>
          <w14:textFill>
            <w14:solidFill>
              <w14:schemeClr w14:val="tx1"/>
            </w14:solidFill>
          </w14:textFill>
        </w:rPr>
        <w:t>（二）相关建议。</w:t>
      </w:r>
      <w:r>
        <w:rPr>
          <w:rFonts w:hint="eastAsia" w:ascii="Times New Roman" w:hAnsi="Times New Roman" w:cs="仿宋_GB2312"/>
          <w:color w:val="000000" w:themeColor="text1"/>
          <w:lang w:val="zh-CN" w:bidi="ar"/>
          <w14:textFill>
            <w14:solidFill>
              <w14:schemeClr w14:val="tx1"/>
            </w14:solidFill>
          </w14:textFill>
        </w:rPr>
        <w:t>一是加强相关的宣传和学习。可组织对一些绩效目标实践的创新做法进行宣传或学习，特别是在社会化购买服务方面，以拓宽工作思路和眼界；二是加强对于制度建设的指导。能够指导完善和健全规章制度、工作规程等一系列具有科学性、规范性和长效性的相应工作制度，以发挥其规范和约束行为功能，使相关工作有章可循。</w:t>
      </w:r>
    </w:p>
    <w:p>
      <w:pPr>
        <w:spacing w:line="600" w:lineRule="exact"/>
        <w:jc w:val="center"/>
        <w:outlineLvl w:val="0"/>
        <w:rPr>
          <w:rFonts w:hint="eastAsia" w:ascii="Times New Roman" w:hAnsi="Times New Roman" w:eastAsia="黑体"/>
          <w:caps w:val="0"/>
          <w:color w:val="000000" w:themeColor="text1"/>
          <w:sz w:val="44"/>
          <w:szCs w:val="44"/>
          <w14:textFill>
            <w14:solidFill>
              <w14:schemeClr w14:val="tx1"/>
            </w14:solidFill>
          </w14:textFill>
        </w:rPr>
      </w:pPr>
    </w:p>
    <w:p>
      <w:pPr>
        <w:pStyle w:val="2"/>
        <w:rPr>
          <w:rFonts w:hint="eastAsia" w:ascii="Times New Roman" w:hAnsi="Times New Roman" w:eastAsia="黑体"/>
          <w:caps w:val="0"/>
          <w:color w:val="000000" w:themeColor="text1"/>
          <w:sz w:val="44"/>
          <w:szCs w:val="44"/>
          <w14:textFill>
            <w14:solidFill>
              <w14:schemeClr w14:val="tx1"/>
            </w14:solidFill>
          </w14:textFill>
        </w:rPr>
      </w:pPr>
    </w:p>
    <w:p>
      <w:pPr>
        <w:spacing w:line="600" w:lineRule="exact"/>
        <w:jc w:val="center"/>
        <w:outlineLvl w:val="0"/>
        <w:rPr>
          <w:rFonts w:ascii="Times New Roman" w:hAnsi="Times New Roman" w:eastAsia="仿宋"/>
          <w:b/>
          <w:caps w:val="0"/>
          <w:color w:val="000000" w:themeColor="text1"/>
          <w:sz w:val="44"/>
          <w:szCs w:val="44"/>
          <w14:textFill>
            <w14:solidFill>
              <w14:schemeClr w14:val="tx1"/>
            </w14:solidFill>
          </w14:textFill>
        </w:rPr>
      </w:pPr>
      <w:r>
        <w:rPr>
          <w:rFonts w:hint="eastAsia" w:ascii="Times New Roman" w:hAnsi="Times New Roman" w:eastAsia="黑体"/>
          <w:caps w:val="0"/>
          <w:color w:val="000000" w:themeColor="text1"/>
          <w:sz w:val="44"/>
          <w:szCs w:val="44"/>
          <w14:textFill>
            <w14:solidFill>
              <w14:schemeClr w14:val="tx1"/>
            </w14:solidFill>
          </w14:textFill>
        </w:rPr>
        <w:t>第</w:t>
      </w:r>
      <w:r>
        <w:rPr>
          <w:rStyle w:val="23"/>
          <w:rFonts w:hint="eastAsia" w:ascii="Times New Roman" w:hAnsi="Times New Roman" w:eastAsia="黑体"/>
          <w:b w:val="0"/>
          <w:caps w:val="0"/>
          <w:color w:val="000000" w:themeColor="text1"/>
          <w14:textFill>
            <w14:solidFill>
              <w14:schemeClr w14:val="tx1"/>
            </w14:solidFill>
          </w14:textFill>
        </w:rPr>
        <w:t>五部分</w:t>
      </w:r>
      <w:r>
        <w:rPr>
          <w:rStyle w:val="23"/>
          <w:rFonts w:ascii="Times New Roman" w:hAnsi="Times New Roman" w:eastAsia="黑体"/>
          <w:b w:val="0"/>
          <w:caps w:val="0"/>
          <w:color w:val="000000" w:themeColor="text1"/>
          <w14:textFill>
            <w14:solidFill>
              <w14:schemeClr w14:val="tx1"/>
            </w14:solidFill>
          </w14:textFill>
        </w:rPr>
        <w:t xml:space="preserve"> </w:t>
      </w:r>
      <w:r>
        <w:rPr>
          <w:rStyle w:val="23"/>
          <w:rFonts w:hint="eastAsia" w:ascii="Times New Roman" w:hAnsi="Times New Roman" w:eastAsia="黑体"/>
          <w:b w:val="0"/>
          <w:caps w:val="0"/>
          <w:color w:val="000000" w:themeColor="text1"/>
          <w14:textFill>
            <w14:solidFill>
              <w14:schemeClr w14:val="tx1"/>
            </w14:solidFill>
          </w14:textFill>
        </w:rPr>
        <w:t>附表</w:t>
      </w:r>
      <w:bookmarkEnd w:id="54"/>
      <w:bookmarkEnd w:id="58"/>
      <w:bookmarkEnd w:id="59"/>
    </w:p>
    <w:p>
      <w:pPr>
        <w:pStyle w:val="4"/>
        <w:rPr>
          <w:rFonts w:ascii="Times New Roman" w:hAnsi="Times New Roman" w:eastAsia="仿宋"/>
          <w:caps w:val="0"/>
          <w:color w:val="000000" w:themeColor="text1"/>
          <w:highlight w:val="none"/>
          <w14:textFill>
            <w14:solidFill>
              <w14:schemeClr w14:val="tx1"/>
            </w14:solidFill>
          </w14:textFill>
        </w:rPr>
      </w:pPr>
      <w:bookmarkStart w:id="61" w:name="_Toc5286"/>
      <w:r>
        <w:rPr>
          <w:rFonts w:hint="eastAsia" w:ascii="Times New Roman" w:hAnsi="Times New Roman" w:eastAsia="仿宋"/>
          <w:b w:val="0"/>
          <w:caps w:val="0"/>
          <w:color w:val="000000" w:themeColor="text1"/>
          <w:highlight w:val="none"/>
          <w14:textFill>
            <w14:solidFill>
              <w14:schemeClr w14:val="tx1"/>
            </w14:solidFill>
          </w14:textFill>
        </w:rPr>
        <w:t>一、收</w:t>
      </w:r>
      <w:r>
        <w:rPr>
          <w:rStyle w:val="27"/>
          <w:rFonts w:hint="eastAsia" w:ascii="Times New Roman" w:hAnsi="Times New Roman" w:eastAsia="仿宋"/>
          <w:b w:val="0"/>
          <w:bCs w:val="0"/>
          <w:caps w:val="0"/>
          <w:color w:val="000000" w:themeColor="text1"/>
          <w:highlight w:val="none"/>
          <w14:textFill>
            <w14:solidFill>
              <w14:schemeClr w14:val="tx1"/>
            </w14:solidFill>
          </w14:textFill>
        </w:rPr>
        <w:t>入支出决算总表</w:t>
      </w:r>
      <w:bookmarkEnd w:id="61"/>
    </w:p>
    <w:p>
      <w:pPr>
        <w:pStyle w:val="4"/>
        <w:rPr>
          <w:rFonts w:ascii="Times New Roman" w:hAnsi="Times New Roman" w:eastAsia="仿宋"/>
          <w:caps w:val="0"/>
          <w:color w:val="000000" w:themeColor="text1"/>
          <w:highlight w:val="none"/>
          <w14:textFill>
            <w14:solidFill>
              <w14:schemeClr w14:val="tx1"/>
            </w14:solidFill>
          </w14:textFill>
        </w:rPr>
      </w:pPr>
      <w:bookmarkStart w:id="62" w:name="_Toc8158"/>
      <w:bookmarkStart w:id="63" w:name="_Toc15396620"/>
      <w:r>
        <w:rPr>
          <w:rFonts w:hint="eastAsia" w:ascii="Times New Roman" w:hAnsi="Times New Roman" w:eastAsia="仿宋"/>
          <w:b w:val="0"/>
          <w:caps w:val="0"/>
          <w:color w:val="000000" w:themeColor="text1"/>
          <w:highlight w:val="none"/>
          <w14:textFill>
            <w14:solidFill>
              <w14:schemeClr w14:val="tx1"/>
            </w14:solidFill>
          </w14:textFill>
        </w:rPr>
        <w:t>二、收</w:t>
      </w:r>
      <w:r>
        <w:rPr>
          <w:rStyle w:val="27"/>
          <w:rFonts w:hint="eastAsia" w:ascii="Times New Roman" w:hAnsi="Times New Roman" w:eastAsia="仿宋"/>
          <w:b w:val="0"/>
          <w:bCs w:val="0"/>
          <w:caps w:val="0"/>
          <w:color w:val="000000" w:themeColor="text1"/>
          <w:highlight w:val="none"/>
          <w14:textFill>
            <w14:solidFill>
              <w14:schemeClr w14:val="tx1"/>
            </w14:solidFill>
          </w14:textFill>
        </w:rPr>
        <w:t>入决算表</w:t>
      </w:r>
      <w:bookmarkEnd w:id="62"/>
      <w:bookmarkEnd w:id="63"/>
    </w:p>
    <w:p>
      <w:pPr>
        <w:pStyle w:val="4"/>
        <w:rPr>
          <w:rFonts w:ascii="Times New Roman" w:hAnsi="Times New Roman" w:eastAsia="仿宋"/>
          <w:caps w:val="0"/>
          <w:color w:val="000000" w:themeColor="text1"/>
          <w:highlight w:val="none"/>
          <w14:textFill>
            <w14:solidFill>
              <w14:schemeClr w14:val="tx1"/>
            </w14:solidFill>
          </w14:textFill>
        </w:rPr>
      </w:pPr>
      <w:bookmarkStart w:id="64" w:name="_Toc15396621"/>
      <w:bookmarkStart w:id="65" w:name="_Toc26012"/>
      <w:r>
        <w:rPr>
          <w:rStyle w:val="27"/>
          <w:rFonts w:hint="eastAsia" w:ascii="Times New Roman" w:hAnsi="Times New Roman" w:eastAsia="仿宋"/>
          <w:b w:val="0"/>
          <w:bCs w:val="0"/>
          <w:caps w:val="0"/>
          <w:color w:val="000000" w:themeColor="text1"/>
          <w:highlight w:val="none"/>
          <w14:textFill>
            <w14:solidFill>
              <w14:schemeClr w14:val="tx1"/>
            </w14:solidFill>
          </w14:textFill>
        </w:rPr>
        <w:t>三、</w:t>
      </w:r>
      <w:r>
        <w:rPr>
          <w:rFonts w:hint="eastAsia" w:ascii="Times New Roman" w:hAnsi="Times New Roman" w:eastAsia="仿宋"/>
          <w:b w:val="0"/>
          <w:caps w:val="0"/>
          <w:color w:val="000000" w:themeColor="text1"/>
          <w:highlight w:val="none"/>
          <w14:textFill>
            <w14:solidFill>
              <w14:schemeClr w14:val="tx1"/>
            </w14:solidFill>
          </w14:textFill>
        </w:rPr>
        <w:t>支</w:t>
      </w:r>
      <w:r>
        <w:rPr>
          <w:rStyle w:val="27"/>
          <w:rFonts w:hint="eastAsia" w:ascii="Times New Roman" w:hAnsi="Times New Roman" w:eastAsia="仿宋"/>
          <w:b w:val="0"/>
          <w:bCs w:val="0"/>
          <w:caps w:val="0"/>
          <w:color w:val="000000" w:themeColor="text1"/>
          <w:highlight w:val="none"/>
          <w14:textFill>
            <w14:solidFill>
              <w14:schemeClr w14:val="tx1"/>
            </w14:solidFill>
          </w14:textFill>
        </w:rPr>
        <w:t>出决算表</w:t>
      </w:r>
      <w:bookmarkEnd w:id="64"/>
      <w:bookmarkEnd w:id="65"/>
    </w:p>
    <w:p>
      <w:pPr>
        <w:pStyle w:val="4"/>
        <w:rPr>
          <w:rFonts w:ascii="Times New Roman" w:hAnsi="Times New Roman" w:eastAsia="仿宋"/>
          <w:b w:val="0"/>
          <w:caps w:val="0"/>
          <w:color w:val="000000" w:themeColor="text1"/>
          <w:highlight w:val="none"/>
          <w14:textFill>
            <w14:solidFill>
              <w14:schemeClr w14:val="tx1"/>
            </w14:solidFill>
          </w14:textFill>
        </w:rPr>
      </w:pPr>
      <w:bookmarkStart w:id="66" w:name="_Toc15396622"/>
      <w:bookmarkStart w:id="67" w:name="_Toc18909"/>
      <w:r>
        <w:rPr>
          <w:rStyle w:val="27"/>
          <w:rFonts w:hint="eastAsia" w:ascii="Times New Roman" w:hAnsi="Times New Roman" w:eastAsia="仿宋"/>
          <w:b w:val="0"/>
          <w:bCs w:val="0"/>
          <w:caps w:val="0"/>
          <w:color w:val="000000" w:themeColor="text1"/>
          <w:highlight w:val="none"/>
          <w14:textFill>
            <w14:solidFill>
              <w14:schemeClr w14:val="tx1"/>
            </w14:solidFill>
          </w14:textFill>
        </w:rPr>
        <w:t>四、</w:t>
      </w:r>
      <w:r>
        <w:rPr>
          <w:rFonts w:hint="eastAsia" w:ascii="Times New Roman" w:hAnsi="Times New Roman" w:eastAsia="仿宋"/>
          <w:b w:val="0"/>
          <w:caps w:val="0"/>
          <w:color w:val="000000" w:themeColor="text1"/>
          <w:highlight w:val="none"/>
          <w14:textFill>
            <w14:solidFill>
              <w14:schemeClr w14:val="tx1"/>
            </w14:solidFill>
          </w14:textFill>
        </w:rPr>
        <w:t>财</w:t>
      </w:r>
      <w:r>
        <w:rPr>
          <w:rStyle w:val="27"/>
          <w:rFonts w:hint="eastAsia" w:ascii="Times New Roman" w:hAnsi="Times New Roman" w:eastAsia="仿宋"/>
          <w:b w:val="0"/>
          <w:bCs w:val="0"/>
          <w:caps w:val="0"/>
          <w:color w:val="000000" w:themeColor="text1"/>
          <w:highlight w:val="none"/>
          <w14:textFill>
            <w14:solidFill>
              <w14:schemeClr w14:val="tx1"/>
            </w14:solidFill>
          </w14:textFill>
        </w:rPr>
        <w:t>政拨款收入支出决算总表</w:t>
      </w:r>
      <w:bookmarkEnd w:id="66"/>
      <w:bookmarkEnd w:id="67"/>
    </w:p>
    <w:p>
      <w:pPr>
        <w:pStyle w:val="4"/>
        <w:rPr>
          <w:rStyle w:val="27"/>
          <w:rFonts w:ascii="Times New Roman" w:hAnsi="Times New Roman" w:eastAsia="仿宋"/>
          <w:b w:val="0"/>
          <w:bCs w:val="0"/>
          <w:caps w:val="0"/>
          <w:color w:val="000000" w:themeColor="text1"/>
          <w:highlight w:val="none"/>
          <w14:textFill>
            <w14:solidFill>
              <w14:schemeClr w14:val="tx1"/>
            </w14:solidFill>
          </w14:textFill>
        </w:rPr>
      </w:pPr>
      <w:bookmarkStart w:id="68" w:name="_Toc31130"/>
      <w:bookmarkStart w:id="69" w:name="_Toc15396623"/>
      <w:r>
        <w:rPr>
          <w:rStyle w:val="27"/>
          <w:rFonts w:hint="eastAsia" w:ascii="Times New Roman" w:hAnsi="Times New Roman" w:eastAsia="仿宋"/>
          <w:b w:val="0"/>
          <w:bCs w:val="0"/>
          <w:caps w:val="0"/>
          <w:color w:val="000000" w:themeColor="text1"/>
          <w:highlight w:val="none"/>
          <w14:textFill>
            <w14:solidFill>
              <w14:schemeClr w14:val="tx1"/>
            </w14:solidFill>
          </w14:textFill>
        </w:rPr>
        <w:t>五、</w:t>
      </w:r>
      <w:r>
        <w:rPr>
          <w:rFonts w:hint="eastAsia" w:ascii="Times New Roman" w:hAnsi="Times New Roman" w:eastAsia="仿宋"/>
          <w:b w:val="0"/>
          <w:caps w:val="0"/>
          <w:color w:val="000000" w:themeColor="text1"/>
          <w:highlight w:val="none"/>
          <w14:textFill>
            <w14:solidFill>
              <w14:schemeClr w14:val="tx1"/>
            </w14:solidFill>
          </w14:textFill>
        </w:rPr>
        <w:t>财</w:t>
      </w:r>
      <w:r>
        <w:rPr>
          <w:rStyle w:val="27"/>
          <w:rFonts w:hint="eastAsia" w:ascii="Times New Roman" w:hAnsi="Times New Roman" w:eastAsia="仿宋"/>
          <w:b w:val="0"/>
          <w:bCs w:val="0"/>
          <w:caps w:val="0"/>
          <w:color w:val="000000" w:themeColor="text1"/>
          <w:highlight w:val="none"/>
          <w14:textFill>
            <w14:solidFill>
              <w14:schemeClr w14:val="tx1"/>
            </w14:solidFill>
          </w14:textFill>
        </w:rPr>
        <w:t>政拨款支出决算明细表</w:t>
      </w:r>
      <w:bookmarkEnd w:id="68"/>
      <w:bookmarkEnd w:id="69"/>
      <w:bookmarkStart w:id="70" w:name="_Toc15396624"/>
    </w:p>
    <w:p>
      <w:pPr>
        <w:pStyle w:val="4"/>
        <w:rPr>
          <w:rFonts w:ascii="Times New Roman" w:hAnsi="Times New Roman" w:eastAsia="仿宋"/>
          <w:caps w:val="0"/>
          <w:color w:val="000000" w:themeColor="text1"/>
          <w:highlight w:val="none"/>
          <w14:textFill>
            <w14:solidFill>
              <w14:schemeClr w14:val="tx1"/>
            </w14:solidFill>
          </w14:textFill>
        </w:rPr>
      </w:pPr>
      <w:bookmarkStart w:id="71" w:name="_Toc7698"/>
      <w:r>
        <w:rPr>
          <w:rStyle w:val="27"/>
          <w:rFonts w:hint="eastAsia" w:ascii="Times New Roman" w:hAnsi="Times New Roman" w:eastAsia="仿宋"/>
          <w:b w:val="0"/>
          <w:bCs w:val="0"/>
          <w:caps w:val="0"/>
          <w:color w:val="000000" w:themeColor="text1"/>
          <w:highlight w:val="none"/>
          <w14:textFill>
            <w14:solidFill>
              <w14:schemeClr w14:val="tx1"/>
            </w14:solidFill>
          </w14:textFill>
        </w:rPr>
        <w:t>六、</w:t>
      </w:r>
      <w:r>
        <w:rPr>
          <w:rFonts w:hint="eastAsia" w:ascii="Times New Roman" w:hAnsi="Times New Roman" w:eastAsia="仿宋"/>
          <w:b w:val="0"/>
          <w:caps w:val="0"/>
          <w:color w:val="000000" w:themeColor="text1"/>
          <w:highlight w:val="none"/>
          <w14:textFill>
            <w14:solidFill>
              <w14:schemeClr w14:val="tx1"/>
            </w14:solidFill>
          </w14:textFill>
        </w:rPr>
        <w:t>一</w:t>
      </w:r>
      <w:r>
        <w:rPr>
          <w:rStyle w:val="27"/>
          <w:rFonts w:hint="eastAsia" w:ascii="Times New Roman" w:hAnsi="Times New Roman" w:eastAsia="仿宋"/>
          <w:b w:val="0"/>
          <w:bCs w:val="0"/>
          <w:caps w:val="0"/>
          <w:color w:val="000000" w:themeColor="text1"/>
          <w:highlight w:val="none"/>
          <w14:textFill>
            <w14:solidFill>
              <w14:schemeClr w14:val="tx1"/>
            </w14:solidFill>
          </w14:textFill>
        </w:rPr>
        <w:t>般公共预算财政拨款支出决算表</w:t>
      </w:r>
      <w:bookmarkEnd w:id="70"/>
      <w:bookmarkEnd w:id="71"/>
    </w:p>
    <w:p>
      <w:pPr>
        <w:pStyle w:val="4"/>
        <w:rPr>
          <w:rFonts w:ascii="Times New Roman" w:hAnsi="Times New Roman" w:eastAsia="仿宋"/>
          <w:caps w:val="0"/>
          <w:color w:val="000000" w:themeColor="text1"/>
          <w:highlight w:val="none"/>
          <w14:textFill>
            <w14:solidFill>
              <w14:schemeClr w14:val="tx1"/>
            </w14:solidFill>
          </w14:textFill>
        </w:rPr>
      </w:pPr>
      <w:bookmarkStart w:id="72" w:name="_Toc31249"/>
      <w:bookmarkStart w:id="73" w:name="_Toc15396625"/>
      <w:r>
        <w:rPr>
          <w:rStyle w:val="27"/>
          <w:rFonts w:hint="eastAsia" w:ascii="Times New Roman" w:hAnsi="Times New Roman" w:eastAsia="仿宋"/>
          <w:b w:val="0"/>
          <w:bCs w:val="0"/>
          <w:caps w:val="0"/>
          <w:color w:val="000000" w:themeColor="text1"/>
          <w:highlight w:val="none"/>
          <w14:textFill>
            <w14:solidFill>
              <w14:schemeClr w14:val="tx1"/>
            </w14:solidFill>
          </w14:textFill>
        </w:rPr>
        <w:t>七、</w:t>
      </w:r>
      <w:r>
        <w:rPr>
          <w:rFonts w:hint="eastAsia" w:ascii="Times New Roman" w:hAnsi="Times New Roman" w:eastAsia="仿宋"/>
          <w:b w:val="0"/>
          <w:caps w:val="0"/>
          <w:color w:val="000000" w:themeColor="text1"/>
          <w:highlight w:val="none"/>
          <w14:textFill>
            <w14:solidFill>
              <w14:schemeClr w14:val="tx1"/>
            </w14:solidFill>
          </w14:textFill>
        </w:rPr>
        <w:t>一</w:t>
      </w:r>
      <w:r>
        <w:rPr>
          <w:rStyle w:val="27"/>
          <w:rFonts w:hint="eastAsia" w:ascii="Times New Roman" w:hAnsi="Times New Roman" w:eastAsia="仿宋"/>
          <w:b w:val="0"/>
          <w:bCs w:val="0"/>
          <w:caps w:val="0"/>
          <w:color w:val="000000" w:themeColor="text1"/>
          <w:highlight w:val="none"/>
          <w14:textFill>
            <w14:solidFill>
              <w14:schemeClr w14:val="tx1"/>
            </w14:solidFill>
          </w14:textFill>
        </w:rPr>
        <w:t>般公共预算财政拨款支出决算明细表</w:t>
      </w:r>
      <w:bookmarkEnd w:id="72"/>
      <w:bookmarkEnd w:id="73"/>
    </w:p>
    <w:p>
      <w:pPr>
        <w:pStyle w:val="4"/>
        <w:rPr>
          <w:rFonts w:ascii="Times New Roman" w:hAnsi="Times New Roman" w:eastAsia="仿宋"/>
          <w:caps w:val="0"/>
          <w:color w:val="000000" w:themeColor="text1"/>
          <w:highlight w:val="none"/>
          <w14:textFill>
            <w14:solidFill>
              <w14:schemeClr w14:val="tx1"/>
            </w14:solidFill>
          </w14:textFill>
        </w:rPr>
      </w:pPr>
      <w:bookmarkStart w:id="74" w:name="_Toc7317"/>
      <w:bookmarkStart w:id="75" w:name="_Toc15396626"/>
      <w:r>
        <w:rPr>
          <w:rStyle w:val="27"/>
          <w:rFonts w:hint="eastAsia" w:ascii="Times New Roman" w:hAnsi="Times New Roman" w:eastAsia="仿宋"/>
          <w:b w:val="0"/>
          <w:bCs w:val="0"/>
          <w:caps w:val="0"/>
          <w:color w:val="000000" w:themeColor="text1"/>
          <w:highlight w:val="none"/>
          <w14:textFill>
            <w14:solidFill>
              <w14:schemeClr w14:val="tx1"/>
            </w14:solidFill>
          </w14:textFill>
        </w:rPr>
        <w:t>八、</w:t>
      </w:r>
      <w:r>
        <w:rPr>
          <w:rFonts w:hint="eastAsia" w:ascii="Times New Roman" w:hAnsi="Times New Roman" w:eastAsia="仿宋"/>
          <w:b w:val="0"/>
          <w:caps w:val="0"/>
          <w:color w:val="000000" w:themeColor="text1"/>
          <w:highlight w:val="none"/>
          <w14:textFill>
            <w14:solidFill>
              <w14:schemeClr w14:val="tx1"/>
            </w14:solidFill>
          </w14:textFill>
        </w:rPr>
        <w:t>一</w:t>
      </w:r>
      <w:r>
        <w:rPr>
          <w:rStyle w:val="27"/>
          <w:rFonts w:hint="eastAsia" w:ascii="Times New Roman" w:hAnsi="Times New Roman" w:eastAsia="仿宋"/>
          <w:b w:val="0"/>
          <w:bCs w:val="0"/>
          <w:caps w:val="0"/>
          <w:color w:val="000000" w:themeColor="text1"/>
          <w:highlight w:val="none"/>
          <w14:textFill>
            <w14:solidFill>
              <w14:schemeClr w14:val="tx1"/>
            </w14:solidFill>
          </w14:textFill>
        </w:rPr>
        <w:t>般公共预算财政拨款基本支出决算表</w:t>
      </w:r>
      <w:bookmarkEnd w:id="74"/>
      <w:bookmarkEnd w:id="75"/>
    </w:p>
    <w:p>
      <w:pPr>
        <w:pStyle w:val="4"/>
        <w:rPr>
          <w:rFonts w:ascii="Times New Roman" w:hAnsi="Times New Roman" w:eastAsia="仿宋"/>
          <w:caps w:val="0"/>
          <w:color w:val="000000" w:themeColor="text1"/>
          <w:highlight w:val="none"/>
          <w14:textFill>
            <w14:solidFill>
              <w14:schemeClr w14:val="tx1"/>
            </w14:solidFill>
          </w14:textFill>
        </w:rPr>
      </w:pPr>
      <w:bookmarkStart w:id="76" w:name="_Toc6515"/>
      <w:bookmarkStart w:id="77" w:name="_Toc15396627"/>
      <w:r>
        <w:rPr>
          <w:rStyle w:val="27"/>
          <w:rFonts w:hint="eastAsia" w:ascii="Times New Roman" w:hAnsi="Times New Roman" w:eastAsia="仿宋"/>
          <w:b w:val="0"/>
          <w:bCs w:val="0"/>
          <w:caps w:val="0"/>
          <w:color w:val="000000" w:themeColor="text1"/>
          <w:highlight w:val="none"/>
          <w14:textFill>
            <w14:solidFill>
              <w14:schemeClr w14:val="tx1"/>
            </w14:solidFill>
          </w14:textFill>
        </w:rPr>
        <w:t>九、</w:t>
      </w:r>
      <w:r>
        <w:rPr>
          <w:rFonts w:hint="eastAsia" w:ascii="Times New Roman" w:hAnsi="Times New Roman" w:eastAsia="仿宋"/>
          <w:b w:val="0"/>
          <w:caps w:val="0"/>
          <w:color w:val="000000" w:themeColor="text1"/>
          <w:highlight w:val="none"/>
          <w14:textFill>
            <w14:solidFill>
              <w14:schemeClr w14:val="tx1"/>
            </w14:solidFill>
          </w14:textFill>
        </w:rPr>
        <w:t>一</w:t>
      </w:r>
      <w:r>
        <w:rPr>
          <w:rStyle w:val="27"/>
          <w:rFonts w:hint="eastAsia" w:ascii="Times New Roman" w:hAnsi="Times New Roman" w:eastAsia="仿宋"/>
          <w:b w:val="0"/>
          <w:bCs w:val="0"/>
          <w:caps w:val="0"/>
          <w:color w:val="000000" w:themeColor="text1"/>
          <w:highlight w:val="none"/>
          <w14:textFill>
            <w14:solidFill>
              <w14:schemeClr w14:val="tx1"/>
            </w14:solidFill>
          </w14:textFill>
        </w:rPr>
        <w:t>般公共预算财政拨款项目支出决算表</w:t>
      </w:r>
      <w:bookmarkEnd w:id="76"/>
      <w:bookmarkEnd w:id="77"/>
    </w:p>
    <w:p>
      <w:pPr>
        <w:pStyle w:val="4"/>
        <w:rPr>
          <w:rFonts w:ascii="Times New Roman" w:hAnsi="Times New Roman" w:eastAsia="仿宋"/>
          <w:caps w:val="0"/>
          <w:color w:val="000000" w:themeColor="text1"/>
          <w:highlight w:val="none"/>
          <w14:textFill>
            <w14:solidFill>
              <w14:schemeClr w14:val="tx1"/>
            </w14:solidFill>
          </w14:textFill>
        </w:rPr>
      </w:pPr>
      <w:bookmarkStart w:id="78" w:name="_Toc15396628"/>
      <w:bookmarkStart w:id="79" w:name="_Toc7620"/>
      <w:r>
        <w:rPr>
          <w:rStyle w:val="27"/>
          <w:rFonts w:hint="eastAsia" w:ascii="Times New Roman" w:hAnsi="Times New Roman" w:eastAsia="仿宋"/>
          <w:b w:val="0"/>
          <w:bCs w:val="0"/>
          <w:caps w:val="0"/>
          <w:color w:val="000000" w:themeColor="text1"/>
          <w:highlight w:val="none"/>
          <w14:textFill>
            <w14:solidFill>
              <w14:schemeClr w14:val="tx1"/>
            </w14:solidFill>
          </w14:textFill>
        </w:rPr>
        <w:t>十、</w:t>
      </w:r>
      <w:bookmarkEnd w:id="78"/>
      <w:r>
        <w:rPr>
          <w:rFonts w:hint="eastAsia" w:ascii="Times New Roman" w:hAnsi="Times New Roman" w:eastAsia="仿宋"/>
          <w:b w:val="0"/>
          <w:caps w:val="0"/>
          <w:color w:val="000000" w:themeColor="text1"/>
          <w:highlight w:val="none"/>
          <w14:textFill>
            <w14:solidFill>
              <w14:schemeClr w14:val="tx1"/>
            </w14:solidFill>
          </w14:textFill>
        </w:rPr>
        <w:t>政</w:t>
      </w:r>
      <w:r>
        <w:rPr>
          <w:rStyle w:val="27"/>
          <w:rFonts w:hint="eastAsia" w:ascii="Times New Roman" w:hAnsi="Times New Roman" w:eastAsia="仿宋"/>
          <w:b w:val="0"/>
          <w:bCs w:val="0"/>
          <w:caps w:val="0"/>
          <w:color w:val="000000" w:themeColor="text1"/>
          <w:highlight w:val="none"/>
          <w14:textFill>
            <w14:solidFill>
              <w14:schemeClr w14:val="tx1"/>
            </w14:solidFill>
          </w14:textFill>
        </w:rPr>
        <w:t>府性基金预算财政拨款收入支出决算表</w:t>
      </w:r>
      <w:bookmarkEnd w:id="79"/>
    </w:p>
    <w:p>
      <w:pPr>
        <w:pStyle w:val="4"/>
        <w:rPr>
          <w:rFonts w:ascii="Times New Roman" w:hAnsi="Times New Roman" w:eastAsia="仿宋"/>
          <w:caps w:val="0"/>
          <w:color w:val="000000" w:themeColor="text1"/>
          <w:highlight w:val="none"/>
          <w14:textFill>
            <w14:solidFill>
              <w14:schemeClr w14:val="tx1"/>
            </w14:solidFill>
          </w14:textFill>
        </w:rPr>
      </w:pPr>
      <w:bookmarkStart w:id="80" w:name="_Toc15396629"/>
      <w:bookmarkStart w:id="81" w:name="_Toc26497"/>
      <w:r>
        <w:rPr>
          <w:rStyle w:val="27"/>
          <w:rFonts w:hint="eastAsia" w:ascii="Times New Roman" w:hAnsi="Times New Roman" w:eastAsia="仿宋"/>
          <w:b w:val="0"/>
          <w:bCs w:val="0"/>
          <w:caps w:val="0"/>
          <w:color w:val="000000" w:themeColor="text1"/>
          <w:highlight w:val="none"/>
          <w14:textFill>
            <w14:solidFill>
              <w14:schemeClr w14:val="tx1"/>
            </w14:solidFill>
          </w14:textFill>
        </w:rPr>
        <w:t>十一、</w:t>
      </w:r>
      <w:bookmarkEnd w:id="80"/>
      <w:r>
        <w:rPr>
          <w:rFonts w:hint="eastAsia" w:ascii="Times New Roman" w:hAnsi="Times New Roman" w:eastAsia="仿宋"/>
          <w:b w:val="0"/>
          <w:caps w:val="0"/>
          <w:color w:val="000000" w:themeColor="text1"/>
          <w:highlight w:val="none"/>
          <w14:textFill>
            <w14:solidFill>
              <w14:schemeClr w14:val="tx1"/>
            </w14:solidFill>
          </w14:textFill>
        </w:rPr>
        <w:t>国</w:t>
      </w:r>
      <w:r>
        <w:rPr>
          <w:rStyle w:val="27"/>
          <w:rFonts w:hint="eastAsia" w:ascii="Times New Roman" w:hAnsi="Times New Roman" w:eastAsia="仿宋"/>
          <w:b w:val="0"/>
          <w:bCs w:val="0"/>
          <w:caps w:val="0"/>
          <w:color w:val="000000" w:themeColor="text1"/>
          <w:highlight w:val="none"/>
          <w14:textFill>
            <w14:solidFill>
              <w14:schemeClr w14:val="tx1"/>
            </w14:solidFill>
          </w14:textFill>
        </w:rPr>
        <w:t>有资本经营预算</w:t>
      </w:r>
      <w:r>
        <w:rPr>
          <w:rStyle w:val="27"/>
          <w:rFonts w:hint="eastAsia" w:ascii="Times New Roman" w:hAnsi="Times New Roman" w:eastAsia="仿宋"/>
          <w:b w:val="0"/>
          <w:bCs w:val="0"/>
          <w:caps w:val="0"/>
          <w:color w:val="000000" w:themeColor="text1"/>
          <w:highlight w:val="none"/>
          <w:lang w:eastAsia="zh-CN"/>
          <w14:textFill>
            <w14:solidFill>
              <w14:schemeClr w14:val="tx1"/>
            </w14:solidFill>
          </w14:textFill>
        </w:rPr>
        <w:t>财政拨款收入</w:t>
      </w:r>
      <w:r>
        <w:rPr>
          <w:rStyle w:val="27"/>
          <w:rFonts w:hint="eastAsia" w:ascii="Times New Roman" w:hAnsi="Times New Roman" w:eastAsia="仿宋"/>
          <w:b w:val="0"/>
          <w:bCs w:val="0"/>
          <w:caps w:val="0"/>
          <w:color w:val="000000" w:themeColor="text1"/>
          <w:highlight w:val="none"/>
          <w14:textFill>
            <w14:solidFill>
              <w14:schemeClr w14:val="tx1"/>
            </w14:solidFill>
          </w14:textFill>
        </w:rPr>
        <w:t>支出决算表</w:t>
      </w:r>
      <w:bookmarkEnd w:id="81"/>
    </w:p>
    <w:p>
      <w:pPr>
        <w:pStyle w:val="4"/>
        <w:rPr>
          <w:rFonts w:ascii="Times New Roman" w:hAnsi="Times New Roman" w:eastAsia="仿宋"/>
          <w:caps w:val="0"/>
          <w:color w:val="000000" w:themeColor="text1"/>
          <w:highlight w:val="none"/>
          <w14:textFill>
            <w14:solidFill>
              <w14:schemeClr w14:val="tx1"/>
            </w14:solidFill>
          </w14:textFill>
        </w:rPr>
      </w:pPr>
      <w:bookmarkStart w:id="82" w:name="_Toc15396630"/>
      <w:bookmarkStart w:id="83" w:name="_Toc28654"/>
      <w:r>
        <w:rPr>
          <w:rStyle w:val="27"/>
          <w:rFonts w:hint="eastAsia" w:ascii="Times New Roman" w:hAnsi="Times New Roman" w:eastAsia="仿宋"/>
          <w:b w:val="0"/>
          <w:bCs w:val="0"/>
          <w:caps w:val="0"/>
          <w:color w:val="000000" w:themeColor="text1"/>
          <w:highlight w:val="none"/>
          <w14:textFill>
            <w14:solidFill>
              <w14:schemeClr w14:val="tx1"/>
            </w14:solidFill>
          </w14:textFill>
        </w:rPr>
        <w:t>十二、</w:t>
      </w:r>
      <w:bookmarkEnd w:id="82"/>
      <w:r>
        <w:rPr>
          <w:rStyle w:val="27"/>
          <w:rFonts w:hint="eastAsia" w:ascii="Times New Roman" w:hAnsi="Times New Roman" w:eastAsia="仿宋"/>
          <w:b w:val="0"/>
          <w:bCs w:val="0"/>
          <w:caps w:val="0"/>
          <w:color w:val="000000" w:themeColor="text1"/>
          <w:highlight w:val="none"/>
          <w:lang w:eastAsia="zh-CN"/>
          <w14:textFill>
            <w14:solidFill>
              <w14:schemeClr w14:val="tx1"/>
            </w14:solidFill>
          </w14:textFill>
        </w:rPr>
        <w:t>国有资本经营预算财政拨款支出决算表</w:t>
      </w:r>
      <w:bookmarkEnd w:id="83"/>
    </w:p>
    <w:p>
      <w:pPr>
        <w:pStyle w:val="4"/>
        <w:rPr>
          <w:rFonts w:hint="eastAsia" w:ascii="Times New Roman" w:hAnsi="Times New Roman" w:eastAsia="仿宋_GB2312" w:cs="仿宋_GB2312"/>
          <w:b w:val="0"/>
          <w:caps w:val="0"/>
          <w:color w:val="000000" w:themeColor="text1"/>
          <w14:textFill>
            <w14:solidFill>
              <w14:schemeClr w14:val="tx1"/>
            </w14:solidFill>
          </w14:textFill>
        </w:rPr>
      </w:pPr>
      <w:bookmarkStart w:id="84" w:name="_Toc15396631"/>
      <w:bookmarkStart w:id="85" w:name="_Toc10409"/>
      <w:r>
        <w:rPr>
          <w:rStyle w:val="27"/>
          <w:rFonts w:hint="eastAsia" w:ascii="Times New Roman" w:hAnsi="Times New Roman" w:eastAsia="仿宋"/>
          <w:b w:val="0"/>
          <w:bCs w:val="0"/>
          <w:caps w:val="0"/>
          <w:color w:val="000000" w:themeColor="text1"/>
          <w:highlight w:val="none"/>
          <w14:textFill>
            <w14:solidFill>
              <w14:schemeClr w14:val="tx1"/>
            </w14:solidFill>
          </w14:textFill>
        </w:rPr>
        <w:t>十三、</w:t>
      </w:r>
      <w:bookmarkEnd w:id="84"/>
      <w:r>
        <w:rPr>
          <w:rStyle w:val="27"/>
          <w:rFonts w:hint="eastAsia" w:ascii="Times New Roman" w:hAnsi="Times New Roman" w:eastAsia="仿宋"/>
          <w:b w:val="0"/>
          <w:bCs w:val="0"/>
          <w:caps w:val="0"/>
          <w:color w:val="000000" w:themeColor="text1"/>
          <w:highlight w:val="none"/>
          <w:lang w:eastAsia="zh-CN"/>
          <w14:textFill>
            <w14:solidFill>
              <w14:schemeClr w14:val="tx1"/>
            </w14:solidFill>
          </w14:textFill>
        </w:rPr>
        <w:t>财政拨款“三公”经费支出决算表</w:t>
      </w:r>
      <w:bookmarkEnd w:id="85"/>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DejaVu Math TeX Gyre"/>
    <w:panose1 w:val="02040503050406030204"/>
    <w:charset w:val="00"/>
    <w:family w:val="roman"/>
    <w:pitch w:val="default"/>
    <w:sig w:usb0="00000000" w:usb1="00000000" w:usb2="00000000" w:usb3="00000000" w:csb0="2000019F" w:csb1="00000000"/>
  </w:font>
  <w:font w:name="华文中宋">
    <w:panose1 w:val="02010600040101010101"/>
    <w:charset w:val="86"/>
    <w:family w:val="auto"/>
    <w:pitch w:val="default"/>
    <w:sig w:usb0="00000287" w:usb1="080F0000" w:usb2="00000000" w:usb3="00000000" w:csb0="0004009F" w:csb1="DFD70000"/>
  </w:font>
  <w:font w:name="等线">
    <w:altName w:val="微软雅黑"/>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
    <w:altName w:val="Times New Roman"/>
    <w:panose1 w:val="00000000000000000000"/>
    <w:charset w:val="00"/>
    <w:family w:val="auto"/>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447FED"/>
    <w:multiLevelType w:val="singleLevel"/>
    <w:tmpl w:val="B1447FED"/>
    <w:lvl w:ilvl="0" w:tentative="0">
      <w:start w:val="3"/>
      <w:numFmt w:val="chineseCounting"/>
      <w:suff w:val="nothing"/>
      <w:lvlText w:val="%1、"/>
      <w:lvlJc w:val="left"/>
      <w:rPr>
        <w:rFonts w:hint="eastAsia"/>
      </w:rPr>
    </w:lvl>
  </w:abstractNum>
  <w:abstractNum w:abstractNumId="1">
    <w:nsid w:val="C4052920"/>
    <w:multiLevelType w:val="singleLevel"/>
    <w:tmpl w:val="C4052920"/>
    <w:lvl w:ilvl="0" w:tentative="0">
      <w:start w:val="1"/>
      <w:numFmt w:val="chineseCounting"/>
      <w:suff w:val="nothing"/>
      <w:lvlText w:val="（%1）"/>
      <w:lvlJc w:val="left"/>
      <w:pPr>
        <w:ind w:left="-3"/>
      </w:pPr>
      <w:rPr>
        <w:rFonts w:hint="eastAsia"/>
      </w:rPr>
    </w:lvl>
  </w:abstractNum>
  <w:abstractNum w:abstractNumId="2">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3">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5">
    <w:nsid w:val="5679C156"/>
    <w:multiLevelType w:val="singleLevel"/>
    <w:tmpl w:val="5679C156"/>
    <w:lvl w:ilvl="0" w:tentative="0">
      <w:start w:val="2"/>
      <w:numFmt w:val="decimal"/>
      <w:lvlText w:val="%1."/>
      <w:lvlJc w:val="left"/>
      <w:pPr>
        <w:tabs>
          <w:tab w:val="left" w:pos="312"/>
        </w:tabs>
      </w:pPr>
    </w:lvl>
  </w:abstractNum>
  <w:abstractNum w:abstractNumId="6">
    <w:nsid w:val="6EE37162"/>
    <w:multiLevelType w:val="singleLevel"/>
    <w:tmpl w:val="6EE37162"/>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04078C"/>
    <w:rsid w:val="004F0192"/>
    <w:rsid w:val="00A25F53"/>
    <w:rsid w:val="01735B1C"/>
    <w:rsid w:val="017B45DB"/>
    <w:rsid w:val="01FC640D"/>
    <w:rsid w:val="040A541D"/>
    <w:rsid w:val="04952CDD"/>
    <w:rsid w:val="04C032EA"/>
    <w:rsid w:val="04C947EB"/>
    <w:rsid w:val="05020145"/>
    <w:rsid w:val="059B51A2"/>
    <w:rsid w:val="05A14A1B"/>
    <w:rsid w:val="05BF1B7D"/>
    <w:rsid w:val="064A6F88"/>
    <w:rsid w:val="06D96529"/>
    <w:rsid w:val="07583E9D"/>
    <w:rsid w:val="07BD546D"/>
    <w:rsid w:val="07F81E0F"/>
    <w:rsid w:val="0862654D"/>
    <w:rsid w:val="0A904964"/>
    <w:rsid w:val="0B441A86"/>
    <w:rsid w:val="0B8211BD"/>
    <w:rsid w:val="0C2C1191"/>
    <w:rsid w:val="0CB02DAF"/>
    <w:rsid w:val="0CE16432"/>
    <w:rsid w:val="0CFA5EB8"/>
    <w:rsid w:val="0D462D63"/>
    <w:rsid w:val="0E116281"/>
    <w:rsid w:val="0E960F7B"/>
    <w:rsid w:val="0ECA5C2D"/>
    <w:rsid w:val="0F5E569B"/>
    <w:rsid w:val="0FA3523D"/>
    <w:rsid w:val="1077342F"/>
    <w:rsid w:val="10F82CE4"/>
    <w:rsid w:val="11191F32"/>
    <w:rsid w:val="11745604"/>
    <w:rsid w:val="11E35183"/>
    <w:rsid w:val="121810FD"/>
    <w:rsid w:val="12C81B2F"/>
    <w:rsid w:val="12EE791C"/>
    <w:rsid w:val="136A2066"/>
    <w:rsid w:val="13843B82"/>
    <w:rsid w:val="13897791"/>
    <w:rsid w:val="14440807"/>
    <w:rsid w:val="149E7662"/>
    <w:rsid w:val="14A30E5B"/>
    <w:rsid w:val="14DB4F49"/>
    <w:rsid w:val="151114C9"/>
    <w:rsid w:val="151A47F7"/>
    <w:rsid w:val="15643BA8"/>
    <w:rsid w:val="160F3291"/>
    <w:rsid w:val="16C0151F"/>
    <w:rsid w:val="16EF4AC1"/>
    <w:rsid w:val="17323AF5"/>
    <w:rsid w:val="1790568A"/>
    <w:rsid w:val="17B42173"/>
    <w:rsid w:val="17F97260"/>
    <w:rsid w:val="18625D42"/>
    <w:rsid w:val="189C466F"/>
    <w:rsid w:val="189E7349"/>
    <w:rsid w:val="191D00C0"/>
    <w:rsid w:val="1A4F7538"/>
    <w:rsid w:val="1ACC2385"/>
    <w:rsid w:val="1C3D736A"/>
    <w:rsid w:val="1CDF4279"/>
    <w:rsid w:val="1D3D4E68"/>
    <w:rsid w:val="1DB30AE9"/>
    <w:rsid w:val="1DF9385D"/>
    <w:rsid w:val="1DF96E94"/>
    <w:rsid w:val="1E7F0E72"/>
    <w:rsid w:val="1EC40A13"/>
    <w:rsid w:val="1EF7441C"/>
    <w:rsid w:val="1F264B83"/>
    <w:rsid w:val="201D78D9"/>
    <w:rsid w:val="20942154"/>
    <w:rsid w:val="209D0D1F"/>
    <w:rsid w:val="211820D7"/>
    <w:rsid w:val="21E069E7"/>
    <w:rsid w:val="22194AE1"/>
    <w:rsid w:val="223E448F"/>
    <w:rsid w:val="235E0092"/>
    <w:rsid w:val="23726D1A"/>
    <w:rsid w:val="237C3361"/>
    <w:rsid w:val="240108D0"/>
    <w:rsid w:val="2536579D"/>
    <w:rsid w:val="26407E4E"/>
    <w:rsid w:val="26AF783A"/>
    <w:rsid w:val="26E4675D"/>
    <w:rsid w:val="26F637C0"/>
    <w:rsid w:val="27383582"/>
    <w:rsid w:val="28B430AA"/>
    <w:rsid w:val="2A2C203A"/>
    <w:rsid w:val="2B315379"/>
    <w:rsid w:val="2B3951F0"/>
    <w:rsid w:val="2B4937D9"/>
    <w:rsid w:val="2C3A78CD"/>
    <w:rsid w:val="2C663809"/>
    <w:rsid w:val="2D9D0920"/>
    <w:rsid w:val="2DC673DD"/>
    <w:rsid w:val="2DF74F76"/>
    <w:rsid w:val="2EAA029D"/>
    <w:rsid w:val="2F524EA1"/>
    <w:rsid w:val="2F5F04B7"/>
    <w:rsid w:val="2F945E85"/>
    <w:rsid w:val="301B57BD"/>
    <w:rsid w:val="316D1888"/>
    <w:rsid w:val="32560617"/>
    <w:rsid w:val="32E12B57"/>
    <w:rsid w:val="332D7150"/>
    <w:rsid w:val="33891FB4"/>
    <w:rsid w:val="338C3B7D"/>
    <w:rsid w:val="33D41F9D"/>
    <w:rsid w:val="342A4121"/>
    <w:rsid w:val="34661D88"/>
    <w:rsid w:val="34EF6A61"/>
    <w:rsid w:val="35B046D9"/>
    <w:rsid w:val="35BF1FB9"/>
    <w:rsid w:val="37A21255"/>
    <w:rsid w:val="37B14CC0"/>
    <w:rsid w:val="37B729B8"/>
    <w:rsid w:val="388365F5"/>
    <w:rsid w:val="38CA6739"/>
    <w:rsid w:val="39271051"/>
    <w:rsid w:val="3A322081"/>
    <w:rsid w:val="3A6807BD"/>
    <w:rsid w:val="3A6B6472"/>
    <w:rsid w:val="3A8D3E1B"/>
    <w:rsid w:val="3A9B2E61"/>
    <w:rsid w:val="3AA43819"/>
    <w:rsid w:val="3AE400AD"/>
    <w:rsid w:val="3B5F57F7"/>
    <w:rsid w:val="3C08158E"/>
    <w:rsid w:val="3CB43B15"/>
    <w:rsid w:val="3D732BFF"/>
    <w:rsid w:val="3DF94C03"/>
    <w:rsid w:val="3E025C06"/>
    <w:rsid w:val="3E4169FF"/>
    <w:rsid w:val="3E966480"/>
    <w:rsid w:val="3F1B50CD"/>
    <w:rsid w:val="3F204B9F"/>
    <w:rsid w:val="3F3E414F"/>
    <w:rsid w:val="406245FA"/>
    <w:rsid w:val="406D0F6C"/>
    <w:rsid w:val="40B604B8"/>
    <w:rsid w:val="40B62C07"/>
    <w:rsid w:val="42662B16"/>
    <w:rsid w:val="42772697"/>
    <w:rsid w:val="429908F2"/>
    <w:rsid w:val="42B803EB"/>
    <w:rsid w:val="43C13B2B"/>
    <w:rsid w:val="43FEC932"/>
    <w:rsid w:val="44053092"/>
    <w:rsid w:val="445F5DBB"/>
    <w:rsid w:val="445F7FB9"/>
    <w:rsid w:val="44E11755"/>
    <w:rsid w:val="47DB4AA6"/>
    <w:rsid w:val="48700953"/>
    <w:rsid w:val="498C7FF0"/>
    <w:rsid w:val="4A1F03CE"/>
    <w:rsid w:val="4A6F01C0"/>
    <w:rsid w:val="4B452904"/>
    <w:rsid w:val="4B59218C"/>
    <w:rsid w:val="4C44389C"/>
    <w:rsid w:val="4CA2449C"/>
    <w:rsid w:val="4CCD4822"/>
    <w:rsid w:val="4CE60940"/>
    <w:rsid w:val="4D0F7A3C"/>
    <w:rsid w:val="4E732E16"/>
    <w:rsid w:val="4E7E67D5"/>
    <w:rsid w:val="4F0F63DE"/>
    <w:rsid w:val="4FD306FD"/>
    <w:rsid w:val="504D50B6"/>
    <w:rsid w:val="50A62A39"/>
    <w:rsid w:val="50E6778D"/>
    <w:rsid w:val="51145BE4"/>
    <w:rsid w:val="513E3101"/>
    <w:rsid w:val="5234093E"/>
    <w:rsid w:val="52631EEA"/>
    <w:rsid w:val="53226F6B"/>
    <w:rsid w:val="5479017A"/>
    <w:rsid w:val="54AF2752"/>
    <w:rsid w:val="5510379B"/>
    <w:rsid w:val="55311752"/>
    <w:rsid w:val="558B2BA5"/>
    <w:rsid w:val="55CF7AF1"/>
    <w:rsid w:val="56217489"/>
    <w:rsid w:val="56E3499B"/>
    <w:rsid w:val="5716442E"/>
    <w:rsid w:val="571919E8"/>
    <w:rsid w:val="573A75A8"/>
    <w:rsid w:val="57E5652D"/>
    <w:rsid w:val="57F0382A"/>
    <w:rsid w:val="59267E70"/>
    <w:rsid w:val="59E35308"/>
    <w:rsid w:val="5A184670"/>
    <w:rsid w:val="5A4440A8"/>
    <w:rsid w:val="5AAD63E9"/>
    <w:rsid w:val="5B975C54"/>
    <w:rsid w:val="5BEA5514"/>
    <w:rsid w:val="5D3E75DF"/>
    <w:rsid w:val="5DBF0ADC"/>
    <w:rsid w:val="5EA63358"/>
    <w:rsid w:val="5EE42080"/>
    <w:rsid w:val="5EF6639A"/>
    <w:rsid w:val="5F482B61"/>
    <w:rsid w:val="5F70180A"/>
    <w:rsid w:val="5F71726A"/>
    <w:rsid w:val="5FD53A4A"/>
    <w:rsid w:val="60191A3D"/>
    <w:rsid w:val="61E437AA"/>
    <w:rsid w:val="62727535"/>
    <w:rsid w:val="635A720E"/>
    <w:rsid w:val="635E5215"/>
    <w:rsid w:val="63965912"/>
    <w:rsid w:val="645773EC"/>
    <w:rsid w:val="64EC3722"/>
    <w:rsid w:val="6504078C"/>
    <w:rsid w:val="656868EF"/>
    <w:rsid w:val="656E1393"/>
    <w:rsid w:val="659E3545"/>
    <w:rsid w:val="65FFAF84"/>
    <w:rsid w:val="666E169D"/>
    <w:rsid w:val="67090219"/>
    <w:rsid w:val="678312B4"/>
    <w:rsid w:val="67D63BB0"/>
    <w:rsid w:val="68712565"/>
    <w:rsid w:val="6889444B"/>
    <w:rsid w:val="68A9324D"/>
    <w:rsid w:val="68FB1542"/>
    <w:rsid w:val="69E64F90"/>
    <w:rsid w:val="6A127321"/>
    <w:rsid w:val="6AA9434E"/>
    <w:rsid w:val="6B7D64E9"/>
    <w:rsid w:val="6B874DDC"/>
    <w:rsid w:val="6BA0359C"/>
    <w:rsid w:val="6BE31711"/>
    <w:rsid w:val="6E3269D7"/>
    <w:rsid w:val="6E5D7898"/>
    <w:rsid w:val="702347C4"/>
    <w:rsid w:val="70354117"/>
    <w:rsid w:val="704427AE"/>
    <w:rsid w:val="71397A03"/>
    <w:rsid w:val="71695992"/>
    <w:rsid w:val="721401AD"/>
    <w:rsid w:val="723658ED"/>
    <w:rsid w:val="726E3979"/>
    <w:rsid w:val="72CD74BB"/>
    <w:rsid w:val="75804D6F"/>
    <w:rsid w:val="76646797"/>
    <w:rsid w:val="76996C67"/>
    <w:rsid w:val="769D232A"/>
    <w:rsid w:val="778375F9"/>
    <w:rsid w:val="77DD6EF2"/>
    <w:rsid w:val="77EF45FD"/>
    <w:rsid w:val="78177B16"/>
    <w:rsid w:val="7A672360"/>
    <w:rsid w:val="7A712C6F"/>
    <w:rsid w:val="7ABD74EB"/>
    <w:rsid w:val="7ADC5508"/>
    <w:rsid w:val="7AE3211E"/>
    <w:rsid w:val="7B671F02"/>
    <w:rsid w:val="7B6A6BD1"/>
    <w:rsid w:val="7BD86F12"/>
    <w:rsid w:val="7D153D75"/>
    <w:rsid w:val="7D264116"/>
    <w:rsid w:val="7D6E77E9"/>
    <w:rsid w:val="7D705B5B"/>
    <w:rsid w:val="7DE5360B"/>
    <w:rsid w:val="7E5F5C1E"/>
    <w:rsid w:val="7E695D73"/>
    <w:rsid w:val="7EBFE696"/>
    <w:rsid w:val="7EC91BC5"/>
    <w:rsid w:val="7EE60311"/>
    <w:rsid w:val="7F56555D"/>
    <w:rsid w:val="9B9F991E"/>
    <w:rsid w:val="B3FD0AB2"/>
    <w:rsid w:val="F7B86D15"/>
    <w:rsid w:val="FCB4E2BB"/>
    <w:rsid w:val="FFFD2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unhideWhenUsed/>
    <w:qFormat/>
    <w:uiPriority w:val="9"/>
    <w:pPr>
      <w:keepNext/>
      <w:keepLines/>
      <w:spacing w:before="260" w:after="260" w:line="416" w:lineRule="auto"/>
      <w:outlineLvl w:val="1"/>
    </w:pPr>
    <w:rPr>
      <w:rFonts w:ascii="Cambria" w:hAnsi="Cambria"/>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99"/>
    <w:pPr>
      <w:ind w:left="200" w:leftChars="200" w:hanging="200" w:hangingChars="200"/>
    </w:pPr>
    <w:rPr>
      <w:rFonts w:ascii="Calibri" w:hAnsi="Calibri"/>
    </w:rPr>
  </w:style>
  <w:style w:type="paragraph" w:styleId="5">
    <w:name w:val="index 5"/>
    <w:basedOn w:val="1"/>
    <w:next w:val="1"/>
    <w:qFormat/>
    <w:uiPriority w:val="0"/>
    <w:pPr>
      <w:ind w:left="1680"/>
    </w:pPr>
  </w:style>
  <w:style w:type="paragraph" w:styleId="6">
    <w:name w:val="Salutation"/>
    <w:basedOn w:val="1"/>
    <w:next w:val="1"/>
    <w:qFormat/>
    <w:uiPriority w:val="0"/>
  </w:style>
  <w:style w:type="paragraph" w:styleId="7">
    <w:name w:val="Body Text"/>
    <w:basedOn w:val="1"/>
    <w:qFormat/>
    <w:uiPriority w:val="99"/>
    <w:pPr>
      <w:spacing w:beforeLines="30"/>
    </w:pPr>
    <w:rPr>
      <w:rFonts w:ascii="仿宋_GB2312" w:eastAsia="仿宋_GB2312"/>
      <w:kern w:val="0"/>
      <w:sz w:val="24"/>
      <w:szCs w:val="20"/>
    </w:rPr>
  </w:style>
  <w:style w:type="paragraph" w:styleId="8">
    <w:name w:val="Body Text Indent"/>
    <w:basedOn w:val="1"/>
    <w:next w:val="9"/>
    <w:qFormat/>
    <w:uiPriority w:val="0"/>
    <w:pPr>
      <w:spacing w:line="560" w:lineRule="exact"/>
      <w:ind w:firstLine="640" w:firstLineChars="200"/>
    </w:pPr>
  </w:style>
  <w:style w:type="paragraph" w:styleId="9">
    <w:name w:val="Body Text First Indent 2"/>
    <w:basedOn w:val="8"/>
    <w:next w:val="5"/>
    <w:qFormat/>
    <w:uiPriority w:val="0"/>
    <w:pPr>
      <w:spacing w:after="120" w:line="240" w:lineRule="auto"/>
      <w:ind w:left="420" w:leftChars="200" w:firstLine="420"/>
    </w:pPr>
  </w:style>
  <w:style w:type="paragraph" w:styleId="10">
    <w:name w:val="Block Text"/>
    <w:basedOn w:val="1"/>
    <w:qFormat/>
    <w:uiPriority w:val="0"/>
    <w:pPr>
      <w:ind w:left="-105" w:leftChars="-50" w:right="-840" w:rightChars="-400"/>
    </w:pPr>
    <w:rPr>
      <w:rFonts w:ascii="Times New Roman" w:hAnsi="Times New Roman" w:eastAsia="华文中宋" w:cs="Times New Roman"/>
      <w:color w:val="FF0000"/>
      <w:spacing w:val="2"/>
      <w:sz w:val="96"/>
    </w:rPr>
  </w:style>
  <w:style w:type="paragraph" w:styleId="11">
    <w:name w:val="toc 5"/>
    <w:basedOn w:val="1"/>
    <w:next w:val="1"/>
    <w:qFormat/>
    <w:uiPriority w:val="0"/>
    <w:pPr>
      <w:ind w:left="1680"/>
    </w:pPr>
    <w:rPr>
      <w:rFonts w:ascii="黑体" w:eastAsia="黑体"/>
      <w:sz w:val="32"/>
      <w:szCs w:val="32"/>
    </w:rPr>
  </w:style>
  <w:style w:type="paragraph" w:styleId="12">
    <w:name w:val="footer"/>
    <w:basedOn w:val="1"/>
    <w:qFormat/>
    <w:uiPriority w:val="99"/>
    <w:pPr>
      <w:tabs>
        <w:tab w:val="center" w:pos="4153"/>
        <w:tab w:val="right" w:pos="8306"/>
      </w:tabs>
      <w:snapToGrid w:val="0"/>
      <w:jc w:val="left"/>
    </w:pPr>
    <w:rPr>
      <w:rFonts w:ascii="Calibri" w:hAnsi="Calibri"/>
      <w:kern w:val="0"/>
      <w:sz w:val="18"/>
      <w:szCs w:val="20"/>
    </w:rPr>
  </w:style>
  <w:style w:type="paragraph" w:styleId="13">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4">
    <w:name w:val="toc 1"/>
    <w:basedOn w:val="1"/>
    <w:next w:val="1"/>
    <w:unhideWhenUsed/>
    <w:qFormat/>
    <w:uiPriority w:val="39"/>
    <w:pPr>
      <w:spacing w:before="120"/>
      <w:jc w:val="left"/>
    </w:pPr>
    <w:rPr>
      <w:rFonts w:ascii="等线" w:eastAsia="等线"/>
      <w:b/>
      <w:bCs/>
      <w:i/>
      <w:iCs/>
      <w:sz w:val="24"/>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spacing w:before="120"/>
      <w:ind w:left="300"/>
      <w:jc w:val="left"/>
    </w:pPr>
    <w:rPr>
      <w:rFonts w:ascii="等线" w:eastAsia="等线"/>
      <w:b/>
      <w:bCs/>
      <w:sz w:val="22"/>
      <w:szCs w:val="22"/>
    </w:rPr>
  </w:style>
  <w:style w:type="paragraph" w:styleId="17">
    <w:name w:val="Normal (Web)"/>
    <w:basedOn w:val="1"/>
    <w:qFormat/>
    <w:uiPriority w:val="0"/>
    <w:pPr>
      <w:widowControl/>
      <w:spacing w:before="100" w:beforeAutospacing="1" w:after="100" w:afterAutospacing="1"/>
      <w:jc w:val="left"/>
    </w:pPr>
    <w:rPr>
      <w:rFonts w:ascii="Verdana" w:hAnsi="Verdana" w:eastAsia="宋体"/>
      <w:color w:val="0E4A79"/>
      <w:kern w:val="0"/>
      <w:sz w:val="21"/>
      <w:szCs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99"/>
    <w:rPr>
      <w:rFonts w:cs="Times New Roman"/>
      <w:b/>
    </w:rPr>
  </w:style>
  <w:style w:type="character" w:styleId="22">
    <w:name w:val="Hyperlink"/>
    <w:unhideWhenUsed/>
    <w:qFormat/>
    <w:uiPriority w:val="99"/>
    <w:rPr>
      <w:color w:val="0000FF"/>
      <w:u w:val="single"/>
    </w:rPr>
  </w:style>
  <w:style w:type="character" w:customStyle="1" w:styleId="23">
    <w:name w:val=" Char Char6"/>
    <w:basedOn w:val="20"/>
    <w:link w:val="3"/>
    <w:qFormat/>
    <w:locked/>
    <w:uiPriority w:val="9"/>
    <w:rPr>
      <w:b/>
      <w:bCs/>
      <w:kern w:val="44"/>
      <w:sz w:val="44"/>
      <w:szCs w:val="44"/>
    </w:rPr>
  </w:style>
  <w:style w:type="character" w:customStyle="1" w:styleId="24">
    <w:name w:val=" Char Char5"/>
    <w:basedOn w:val="20"/>
    <w:link w:val="4"/>
    <w:qFormat/>
    <w:locked/>
    <w:uiPriority w:val="9"/>
    <w:rPr>
      <w:rFonts w:ascii="Cambria" w:hAnsi="Cambria"/>
      <w:b/>
      <w:bCs/>
      <w:sz w:val="32"/>
      <w:szCs w:val="32"/>
    </w:rPr>
  </w:style>
  <w:style w:type="paragraph" w:customStyle="1" w:styleId="25">
    <w:name w:val="List Paragraph"/>
    <w:basedOn w:val="1"/>
    <w:qFormat/>
    <w:uiPriority w:val="34"/>
    <w:pPr>
      <w:ind w:firstLine="420" w:firstLineChars="200"/>
    </w:p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7">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28">
    <w:name w:val="四号正文"/>
    <w:basedOn w:val="1"/>
    <w:qFormat/>
    <w:uiPriority w:val="0"/>
    <w:pPr>
      <w:widowControl/>
      <w:spacing w:line="360" w:lineRule="auto"/>
      <w:jc w:val="left"/>
    </w:pPr>
    <w:rPr>
      <w:rFonts w:ascii="??" w:hAnsi="??" w:eastAsia="宋体"/>
      <w:color w:val="000000"/>
      <w:kern w:val="0"/>
      <w:sz w:val="28"/>
      <w:szCs w:val="21"/>
    </w:rPr>
  </w:style>
  <w:style w:type="character" w:customStyle="1" w:styleId="29">
    <w:name w:val="font01"/>
    <w:basedOn w:val="20"/>
    <w:qFormat/>
    <w:uiPriority w:val="0"/>
    <w:rPr>
      <w:rFonts w:hint="eastAsia" w:ascii="黑体" w:hAnsi="黑体" w:eastAsia="黑体" w:cs="黑体"/>
      <w:color w:val="000000"/>
      <w:sz w:val="18"/>
      <w:szCs w:val="18"/>
      <w:u w:val="none"/>
    </w:rPr>
  </w:style>
  <w:style w:type="character" w:customStyle="1" w:styleId="30">
    <w:name w:val="font111"/>
    <w:basedOn w:val="20"/>
    <w:qFormat/>
    <w:uiPriority w:val="0"/>
    <w:rPr>
      <w:rFonts w:hint="eastAsia" w:ascii="宋体" w:hAnsi="宋体" w:eastAsia="宋体" w:cs="宋体"/>
      <w:color w:val="000000"/>
      <w:sz w:val="18"/>
      <w:szCs w:val="18"/>
      <w:u w:val="none"/>
    </w:rPr>
  </w:style>
  <w:style w:type="character" w:customStyle="1" w:styleId="31">
    <w:name w:val="font91"/>
    <w:basedOn w:val="20"/>
    <w:qFormat/>
    <w:uiPriority w:val="0"/>
    <w:rPr>
      <w:rFonts w:ascii="仿宋" w:hAnsi="仿宋" w:eastAsia="仿宋" w:cs="仿宋"/>
      <w:color w:val="000000"/>
      <w:sz w:val="18"/>
      <w:szCs w:val="18"/>
      <w:u w:val="none"/>
    </w:rPr>
  </w:style>
  <w:style w:type="character" w:customStyle="1" w:styleId="32">
    <w:name w:val="NormalCharacter"/>
    <w:semiHidden/>
    <w:qFormat/>
    <w:uiPriority w:val="0"/>
  </w:style>
  <w:style w:type="character" w:customStyle="1" w:styleId="33">
    <w:name w:val="font31"/>
    <w:basedOn w:val="20"/>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2026&#24180;&#24037;&#20316;\2025&#24180;&#20915;&#31639;&#20844;&#24320;\2025&#24180;&#20915;&#31639;&#20844;&#24320;&#26609;&#29366;&#22270;&#12289;&#39292;&#29366;&#2227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4059464233147"/>
          <c:y val="0.034389033325455"/>
          <c:w val="0.873666666666667"/>
          <c:h val="0.83412037037037"/>
        </c:manualLayout>
      </c:layout>
      <c:barChart>
        <c:barDir val="col"/>
        <c:grouping val="stacked"/>
        <c:varyColors val="0"/>
        <c:ser>
          <c:idx val="0"/>
          <c:order val="0"/>
          <c:tx>
            <c:strRef>
              <c:f>"收、支总计"</c:f>
              <c:strCache>
                <c:ptCount val="1"/>
                <c:pt idx="0">
                  <c:v>收、支总计</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[2025年决算公开柱状图、饼状图.xls]Sheet1!$A$2:$A$3</c:f>
              <c:strCache>
                <c:ptCount val="2"/>
                <c:pt idx="0">
                  <c:v>2024年</c:v>
                </c:pt>
                <c:pt idx="1">
                  <c:v>2025年</c:v>
                </c:pt>
              </c:strCache>
            </c:strRef>
          </c:cat>
          <c:val>
            <c:numRef>
              <c:f>[2025年决算公开柱状图、饼状图.xls]Sheet1!$B$2:$B$3</c:f>
              <c:numCache>
                <c:formatCode>General</c:formatCode>
                <c:ptCount val="2"/>
                <c:pt idx="0">
                  <c:v>2184.74</c:v>
                </c:pt>
                <c:pt idx="1">
                  <c:v>3361.96</c:v>
                </c:pt>
              </c:numCache>
            </c:numRef>
          </c:val>
        </c:ser>
        <c:dLbls>
          <c:showLegendKey val="0"/>
          <c:showVal val="0"/>
          <c:showCatName val="0"/>
          <c:showSerName val="0"/>
          <c:showPercent val="0"/>
          <c:showBubbleSize val="0"/>
        </c:dLbls>
        <c:gapWidth val="150"/>
        <c:overlap val="100"/>
        <c:axId val="934177946"/>
        <c:axId val="507222279"/>
      </c:barChart>
      <c:catAx>
        <c:axId val="93417794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222279"/>
        <c:crosses val="autoZero"/>
        <c:auto val="1"/>
        <c:lblAlgn val="ctr"/>
        <c:lblOffset val="100"/>
        <c:noMultiLvlLbl val="0"/>
      </c:catAx>
      <c:valAx>
        <c:axId val="507222279"/>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4177946"/>
        <c:crosses val="autoZero"/>
        <c:crossBetween val="between"/>
      </c:valAx>
      <c:spPr>
        <a:noFill/>
        <a:ln>
          <a:noFill/>
        </a:ln>
        <a:effectLst/>
      </c:spPr>
    </c:plotArea>
    <c:legend>
      <c:legendPos val="r"/>
      <c:layout>
        <c:manualLayout>
          <c:xMode val="edge"/>
          <c:yMode val="edge"/>
          <c:x val="0.83"/>
          <c:y val="0.464930555555556"/>
          <c:w val="0.1755"/>
          <c:h val="0.078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78324904360664"/>
                  <c:y val="-0.036525186545091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776803592166874"/>
                  <c:y val="-0.0017718290413167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[2025年决算公开柱状图、饼状图.xls]Sheet1!$A$18:$A$19</c:f>
              <c:strCache>
                <c:ptCount val="2"/>
                <c:pt idx="0">
                  <c:v>一般公共预算财政拨款收入</c:v>
                </c:pt>
                <c:pt idx="1">
                  <c:v>事业收入</c:v>
                </c:pt>
              </c:strCache>
            </c:strRef>
          </c:cat>
          <c:val>
            <c:numRef>
              <c:f>[2025年决算公开柱状图、饼状图.xls]Sheet1!$B$18:$B$19</c:f>
              <c:numCache>
                <c:formatCode>0.00%</c:formatCode>
                <c:ptCount val="2"/>
                <c:pt idx="0">
                  <c:v>0.9944</c:v>
                </c:pt>
                <c:pt idx="1">
                  <c:v>0.0056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6644977059986"/>
                  <c:y val="0.026827308570003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4879696892756"/>
                  <c:y val="-0.0081645083141199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[2025年决算公开柱状图、饼状图.xls]Sheet1!$A$36:$A$37</c:f>
              <c:strCache>
                <c:ptCount val="2"/>
                <c:pt idx="0">
                  <c:v>基本支出</c:v>
                </c:pt>
                <c:pt idx="1">
                  <c:v>项目支出</c:v>
                </c:pt>
              </c:strCache>
            </c:strRef>
          </c:cat>
          <c:val>
            <c:numRef>
              <c:f>[2025年决算公开柱状图、饼状图.xls]Sheet1!$B$36:$B$37</c:f>
              <c:numCache>
                <c:formatCode>0.00%</c:formatCode>
                <c:ptCount val="2"/>
                <c:pt idx="0">
                  <c:v>0.5533</c:v>
                </c:pt>
                <c:pt idx="1">
                  <c:v>0.4467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"财政拨款收、支总计"</c:f>
              <c:strCache>
                <c:ptCount val="1"/>
                <c:pt idx="0">
                  <c:v>财政拨款收、支总计</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[2025年决算公开柱状图、饼状图.xls]Sheet1!$A$54:$A$55</c:f>
              <c:strCache>
                <c:ptCount val="2"/>
                <c:pt idx="0">
                  <c:v>2024年</c:v>
                </c:pt>
                <c:pt idx="1">
                  <c:v>2025年</c:v>
                </c:pt>
              </c:strCache>
            </c:strRef>
          </c:cat>
          <c:val>
            <c:numRef>
              <c:f>[2025年决算公开柱状图、饼状图.xls]Sheet1!$B$54:$B$55</c:f>
              <c:numCache>
                <c:formatCode>General</c:formatCode>
                <c:ptCount val="2"/>
                <c:pt idx="0">
                  <c:v>2024.67</c:v>
                </c:pt>
                <c:pt idx="1">
                  <c:v>3343.2</c:v>
                </c:pt>
              </c:numCache>
            </c:numRef>
          </c:val>
        </c:ser>
        <c:dLbls>
          <c:showLegendKey val="0"/>
          <c:showVal val="0"/>
          <c:showCatName val="0"/>
          <c:showSerName val="0"/>
          <c:showPercent val="0"/>
          <c:showBubbleSize val="0"/>
        </c:dLbls>
        <c:gapWidth val="150"/>
        <c:overlap val="100"/>
        <c:axId val="274240295"/>
        <c:axId val="262099291"/>
      </c:barChart>
      <c:catAx>
        <c:axId val="27424029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2099291"/>
        <c:crosses val="autoZero"/>
        <c:auto val="1"/>
        <c:lblAlgn val="ctr"/>
        <c:lblOffset val="100"/>
        <c:noMultiLvlLbl val="0"/>
      </c:catAx>
      <c:valAx>
        <c:axId val="262099291"/>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4240295"/>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"一般公共预算财政拨款支出"</c:f>
              <c:strCache>
                <c:ptCount val="1"/>
                <c:pt idx="0">
                  <c:v>一般公共预算财政拨款支出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[2025年决算公开柱状图、饼状图.xls]Sheet1!$A$69:$A$70</c:f>
              <c:strCache>
                <c:ptCount val="2"/>
                <c:pt idx="0">
                  <c:v>2024年</c:v>
                </c:pt>
                <c:pt idx="1">
                  <c:v>2025年</c:v>
                </c:pt>
              </c:strCache>
            </c:strRef>
          </c:cat>
          <c:val>
            <c:numRef>
              <c:f>[2025年决算公开柱状图、饼状图.xls]Sheet1!$B$69:$B$70</c:f>
              <c:numCache>
                <c:formatCode>General</c:formatCode>
                <c:ptCount val="2"/>
                <c:pt idx="0">
                  <c:v>2024.67</c:v>
                </c:pt>
                <c:pt idx="1">
                  <c:v>3343.2</c:v>
                </c:pt>
              </c:numCache>
            </c:numRef>
          </c:val>
        </c:ser>
        <c:dLbls>
          <c:showLegendKey val="0"/>
          <c:showVal val="0"/>
          <c:showCatName val="0"/>
          <c:showSerName val="0"/>
          <c:showPercent val="0"/>
          <c:showBubbleSize val="0"/>
        </c:dLbls>
        <c:gapWidth val="150"/>
        <c:overlap val="100"/>
        <c:axId val="565425097"/>
        <c:axId val="597365743"/>
      </c:barChart>
      <c:catAx>
        <c:axId val="56542509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365743"/>
        <c:crosses val="autoZero"/>
        <c:auto val="1"/>
        <c:lblAlgn val="ctr"/>
        <c:lblOffset val="100"/>
        <c:noMultiLvlLbl val="0"/>
      </c:catAx>
      <c:valAx>
        <c:axId val="597365743"/>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42509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dPt>
          <c:dLbls>
            <c:dLbl>
              <c:idx val="0"/>
              <c:layout>
                <c:manualLayout>
                  <c:x val="0.10638780512873"/>
                  <c:y val="0.0041098920736701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33980141772067"/>
                  <c:y val="0.0049343658305397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4432904919214"/>
                  <c:y val="-0.036707417813162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24731124593219"/>
                  <c:y val="-0.0052722523116817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[2025年决算公开柱状图、饼状图.xls]Sheet1!$A$86:$A$90</c:f>
              <c:strCache>
                <c:ptCount val="5"/>
                <c:pt idx="0">
                  <c:v>教育支出</c:v>
                </c:pt>
                <c:pt idx="1">
                  <c:v>社会保障和就业支出</c:v>
                </c:pt>
                <c:pt idx="2">
                  <c:v>卫生健康支出</c:v>
                </c:pt>
                <c:pt idx="3">
                  <c:v>住房保障支出</c:v>
                </c:pt>
                <c:pt idx="4">
                  <c:v>一般公共服务支出</c:v>
                </c:pt>
              </c:strCache>
            </c:strRef>
          </c:cat>
          <c:val>
            <c:numRef>
              <c:f>[2025年决算公开柱状图、饼状图.xls]Sheet1!$B$86:$B$90</c:f>
              <c:numCache>
                <c:formatCode>0.00%</c:formatCode>
                <c:ptCount val="5"/>
                <c:pt idx="0">
                  <c:v>0.7202</c:v>
                </c:pt>
                <c:pt idx="1">
                  <c:v>0.1492</c:v>
                </c:pt>
                <c:pt idx="2">
                  <c:v>0.0286</c:v>
                </c:pt>
                <c:pt idx="3">
                  <c:v>0.0302</c:v>
                </c:pt>
                <c:pt idx="4">
                  <c:v>0.0718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1"/>
              <c:layout>
                <c:manualLayout>
                  <c:x val="0.0899466990664865"/>
                  <c:y val="0.03020633161528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36997831468584"/>
                  <c:y val="-0.1447896555055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[2025年决算公开柱状图、饼状图.xls]Sheet1!$A$103:$A$105</c:f>
              <c:strCache>
                <c:ptCount val="3"/>
                <c:pt idx="0">
                  <c:v>因公出国（境）费支出</c:v>
                </c:pt>
                <c:pt idx="1">
                  <c:v>公务用车购置及运行维护费支出</c:v>
                </c:pt>
                <c:pt idx="2">
                  <c:v>公务接待费支出</c:v>
                </c:pt>
              </c:strCache>
            </c:strRef>
          </c:cat>
          <c:val>
            <c:numRef>
              <c:f>[2025年决算公开柱状图、饼状图.xls]Sheet1!$B$103:$B$105</c:f>
              <c:numCache>
                <c:formatCode>General</c:formatCode>
                <c:ptCount val="3"/>
                <c:pt idx="0">
                  <c:v>0</c:v>
                </c:pt>
                <c:pt idx="1" c:formatCode="0.00%">
                  <c:v>0.6781</c:v>
                </c:pt>
                <c:pt idx="2" c:formatCode="0.00%">
                  <c:v>0.3219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27104</Words>
  <Characters>29578</Characters>
  <Lines>0</Lines>
  <Paragraphs>0</Paragraphs>
  <TotalTime>0</TotalTime>
  <ScaleCrop>false</ScaleCrop>
  <LinksUpToDate>false</LinksUpToDate>
  <CharactersWithSpaces>29698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2021-09-10T11:29:00Z</dcterms:created>
  <dc:creator>Administrator</dc:creator>
  <cp:lastModifiedBy>Administrator</cp:lastModifiedBy>
  <cp:lastPrinted>2026-09-15T07:11:00Z</cp:lastPrinted>
  <dcterms:modified xsi:type="dcterms:W3CDTF">2026-09-20T08:09:29Z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7E76A03B1D314C1187021B6606AE2C47</vt:lpwstr>
  </property>
</Properties>
</file>